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E2CE7">
              <w:rPr>
                <w:rFonts w:ascii="Tahoma" w:hAnsi="Tahoma" w:cs="Tahoma"/>
                <w:b/>
                <w:sz w:val="28"/>
                <w:szCs w:val="28"/>
              </w:rPr>
              <w:t xml:space="preserve">R.C.G.01400_2012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E2CE7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E2CE7">
              <w:rPr>
                <w:rFonts w:ascii="Tahoma" w:hAnsi="Tahoma" w:cs="Tahoma"/>
              </w:rPr>
              <w:t xml:space="preserve">Det.Sett.III-Integ RCS 00295/2012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E2CE7">
              <w:rPr>
                <w:rFonts w:ascii="Tahoma" w:hAnsi="Tahoma" w:cs="Tahoma"/>
              </w:rPr>
              <w:t xml:space="preserve">09/10/2012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E2CE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E2CE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E2CE7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E2CE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E2CE7">
        <w:rPr>
          <w:rFonts w:ascii="Tahoma" w:hAnsi="Tahoma" w:cs="Tahoma"/>
          <w:b/>
        </w:rPr>
        <w:t xml:space="preserve">Fornitura di materiale Elettrico per la manutenzione degli impianti a servizio degli immobili comunali  – Ditta PISANI s.n.c. - Affidamento diretto ex art. 125 D.Lgs. n.163/2006.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E2CE7" w:rsidRDefault="00CE2CE7" w:rsidP="00CE2CE7">
      <w:pPr>
        <w:rPr>
          <w:rFonts w:ascii="Tahoma" w:hAnsi="Tahoma" w:cs="Tahoma"/>
        </w:rPr>
      </w:pPr>
    </w:p>
    <w:p w:rsidR="00CE2CE7" w:rsidRPr="00CE2CE7" w:rsidRDefault="00CE2CE7" w:rsidP="00CE2CE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CE7" w:rsidRDefault="00CE2CE7">
      <w:r>
        <w:separator/>
      </w:r>
    </w:p>
  </w:endnote>
  <w:endnote w:type="continuationSeparator" w:id="1">
    <w:p w:rsidR="00CE2CE7" w:rsidRDefault="00CE2C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CE7" w:rsidRDefault="00CE2CE7">
      <w:r>
        <w:separator/>
      </w:r>
    </w:p>
  </w:footnote>
  <w:footnote w:type="continuationSeparator" w:id="1">
    <w:p w:rsidR="00CE2CE7" w:rsidRDefault="00CE2C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2CE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2012-10-23T09:25:00Z</dcterms:created>
  <dcterms:modified xsi:type="dcterms:W3CDTF">2012-10-23T09:25:00Z</dcterms:modified>
</cp:coreProperties>
</file>