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E35F1">
              <w:rPr>
                <w:rFonts w:ascii="Tahoma" w:hAnsi="Tahoma" w:cs="Tahoma"/>
                <w:b/>
                <w:sz w:val="28"/>
                <w:szCs w:val="28"/>
              </w:rPr>
              <w:t xml:space="preserve">R.C.G.01472_2012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E35F1">
              <w:rPr>
                <w:rFonts w:ascii="Tahoma" w:hAnsi="Tahoma" w:cs="Tahoma"/>
                <w:b/>
                <w:sz w:val="28"/>
                <w:szCs w:val="28"/>
              </w:rPr>
              <w:t xml:space="preserve">25/10/2012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E35F1">
              <w:rPr>
                <w:rFonts w:ascii="Tahoma" w:hAnsi="Tahoma" w:cs="Tahoma"/>
              </w:rPr>
              <w:t xml:space="preserve">Det.Sett.I-Integr RCS 00309/2012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E35F1">
              <w:rPr>
                <w:rFonts w:ascii="Tahoma" w:hAnsi="Tahoma" w:cs="Tahoma"/>
              </w:rPr>
              <w:t xml:space="preserve">22/10/2012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E35F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E35F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E35F1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E35F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E35F1">
        <w:rPr>
          <w:rFonts w:ascii="Tahoma" w:hAnsi="Tahoma" w:cs="Tahoma"/>
          <w:b/>
        </w:rPr>
        <w:t xml:space="preserve">CAUSA DI SPIRITO LUCA C/COMUNE DI MONOPOLI. SENTENZA DEL GIUDICE DI PACE N. 247/2012. PROVVEDIMENTI CONSEGUENZIALI.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35F1" w:rsidRDefault="00DE35F1">
      <w:r>
        <w:separator/>
      </w:r>
    </w:p>
  </w:endnote>
  <w:endnote w:type="continuationSeparator" w:id="1">
    <w:p w:rsidR="00DE35F1" w:rsidRDefault="00DE35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35F1" w:rsidRDefault="00DE35F1">
      <w:r>
        <w:separator/>
      </w:r>
    </w:p>
  </w:footnote>
  <w:footnote w:type="continuationSeparator" w:id="1">
    <w:p w:rsidR="00DE35F1" w:rsidRDefault="00DE35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DE35F1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2012-10-25T08:50:00Z</dcterms:created>
  <dcterms:modified xsi:type="dcterms:W3CDTF">2012-10-25T08:50:00Z</dcterms:modified>
</cp:coreProperties>
</file>