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2CB1">
              <w:rPr>
                <w:rFonts w:ascii="Tahoma" w:hAnsi="Tahoma" w:cs="Tahoma"/>
                <w:b/>
                <w:sz w:val="28"/>
                <w:szCs w:val="28"/>
              </w:rPr>
              <w:t xml:space="preserve">R.C.G.01518_2012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2CB1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2CB1">
              <w:rPr>
                <w:rFonts w:ascii="Tahoma" w:hAnsi="Tahoma" w:cs="Tahoma"/>
              </w:rPr>
              <w:t xml:space="preserve">Det.Sett.III-Integ RCS 00315/2012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2CB1">
              <w:rPr>
                <w:rFonts w:ascii="Tahoma" w:hAnsi="Tahoma" w:cs="Tahoma"/>
              </w:rPr>
              <w:t xml:space="preserve">26/10/2012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2CB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2CB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2CB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2C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2CB1">
        <w:rPr>
          <w:rFonts w:ascii="Tahoma" w:hAnsi="Tahoma" w:cs="Tahoma"/>
          <w:b/>
        </w:rPr>
        <w:t xml:space="preserve">Ampliamento dell’impianto elettrico del centro polifunzionale per attività multimediali in via Procaccia – Affidamento diretto, ex art. 125 D.Lgs. n.163/2006, alla ditta Pisani s.n.c. - CUP C63E06000130006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CB1" w:rsidRDefault="00182CB1">
      <w:r>
        <w:separator/>
      </w:r>
    </w:p>
  </w:endnote>
  <w:endnote w:type="continuationSeparator" w:id="0">
    <w:p w:rsidR="00182CB1" w:rsidRDefault="00182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CB1" w:rsidRDefault="00182CB1">
      <w:r>
        <w:separator/>
      </w:r>
    </w:p>
  </w:footnote>
  <w:footnote w:type="continuationSeparator" w:id="0">
    <w:p w:rsidR="00182CB1" w:rsidRDefault="00182C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2CB1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2012-11-15T11:14:00Z</dcterms:created>
  <dcterms:modified xsi:type="dcterms:W3CDTF">2012-11-15T11:14:00Z</dcterms:modified>
</cp:coreProperties>
</file>