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2349D">
              <w:rPr>
                <w:rFonts w:ascii="Tahoma" w:hAnsi="Tahoma" w:cs="Tahoma"/>
                <w:b/>
                <w:sz w:val="28"/>
                <w:szCs w:val="28"/>
              </w:rPr>
              <w:t xml:space="preserve">R.C.G.01562_2012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2349D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2349D">
              <w:rPr>
                <w:rFonts w:ascii="Tahoma" w:hAnsi="Tahoma" w:cs="Tahoma"/>
              </w:rPr>
              <w:t xml:space="preserve">Det.Sett.VI-Integ RCS 00115/2012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2349D">
              <w:rPr>
                <w:rFonts w:ascii="Tahoma" w:hAnsi="Tahoma" w:cs="Tahoma"/>
              </w:rPr>
              <w:t xml:space="preserve">05/11/2012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2349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2349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2349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2349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2349D">
        <w:rPr>
          <w:rFonts w:ascii="Tahoma" w:hAnsi="Tahoma" w:cs="Tahoma"/>
          <w:b/>
        </w:rPr>
        <w:t xml:space="preserve">esecuzione sentenza GdiP n.217/2012 - avv. Labbate per conto Pulito Angelo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49D" w:rsidRDefault="0092349D">
      <w:r>
        <w:separator/>
      </w:r>
    </w:p>
  </w:endnote>
  <w:endnote w:type="continuationSeparator" w:id="1">
    <w:p w:rsidR="0092349D" w:rsidRDefault="00923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49D" w:rsidRDefault="0092349D">
      <w:r>
        <w:separator/>
      </w:r>
    </w:p>
  </w:footnote>
  <w:footnote w:type="continuationSeparator" w:id="1">
    <w:p w:rsidR="0092349D" w:rsidRDefault="009234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349D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2012-11-15T17:30:00Z</dcterms:created>
  <dcterms:modified xsi:type="dcterms:W3CDTF">2012-11-15T17:30:00Z</dcterms:modified>
</cp:coreProperties>
</file>