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83FAB">
              <w:rPr>
                <w:rFonts w:ascii="Tahoma" w:hAnsi="Tahoma" w:cs="Tahoma"/>
                <w:b/>
                <w:sz w:val="28"/>
                <w:szCs w:val="28"/>
              </w:rPr>
              <w:t xml:space="preserve">R.C.G.01603_2012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83FAB">
              <w:rPr>
                <w:rFonts w:ascii="Tahoma" w:hAnsi="Tahoma" w:cs="Tahoma"/>
                <w:b/>
                <w:sz w:val="28"/>
                <w:szCs w:val="28"/>
              </w:rPr>
              <w:t xml:space="preserve">28/11/2012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83FAB">
              <w:rPr>
                <w:rFonts w:ascii="Tahoma" w:hAnsi="Tahoma" w:cs="Tahoma"/>
              </w:rPr>
              <w:t xml:space="preserve">Det.Sett.II-Integr RCS 00136/2012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83FAB">
              <w:rPr>
                <w:rFonts w:ascii="Tahoma" w:hAnsi="Tahoma" w:cs="Tahoma"/>
              </w:rPr>
              <w:t xml:space="preserve">26/11/2012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83FA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83FA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83FAB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83FA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E60169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83FAB">
        <w:rPr>
          <w:rFonts w:ascii="Tahoma" w:hAnsi="Tahoma" w:cs="Tahoma"/>
          <w:b/>
        </w:rPr>
        <w:t xml:space="preserve">Spese condominiali relative a due appartamenti di proprietà comunale facenti parte del fabbricato condominiale ubicato in via Cappuccini nr.45/a – CIG: Z2C01A6481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5C1" w:rsidRDefault="00EB45C1">
      <w:r>
        <w:separator/>
      </w:r>
    </w:p>
  </w:endnote>
  <w:endnote w:type="continuationSeparator" w:id="0">
    <w:p w:rsidR="00EB45C1" w:rsidRDefault="00EB45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5C1" w:rsidRDefault="00EB45C1">
      <w:r>
        <w:separator/>
      </w:r>
    </w:p>
  </w:footnote>
  <w:footnote w:type="continuationSeparator" w:id="0">
    <w:p w:rsidR="00EB45C1" w:rsidRDefault="00EB45C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83FAB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60169"/>
    <w:rsid w:val="00EA2018"/>
    <w:rsid w:val="00EB45C1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2012-11-28T12:43:00Z</dcterms:created>
  <dcterms:modified xsi:type="dcterms:W3CDTF">2012-11-28T12:44:00Z</dcterms:modified>
</cp:coreProperties>
</file>