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EC51FF">
              <w:rPr>
                <w:rFonts w:ascii="Tahoma" w:hAnsi="Tahoma" w:cs="Tahoma"/>
                <w:b/>
                <w:sz w:val="28"/>
                <w:szCs w:val="28"/>
              </w:rPr>
              <w:t xml:space="preserve">R.C.G.01745_2012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EC51FF">
              <w:rPr>
                <w:rFonts w:ascii="Tahoma" w:hAnsi="Tahoma" w:cs="Tahoma"/>
                <w:b/>
                <w:sz w:val="28"/>
                <w:szCs w:val="28"/>
              </w:rPr>
              <w:t xml:space="preserve">18/12/2012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EC51FF">
              <w:rPr>
                <w:rFonts w:ascii="Tahoma" w:hAnsi="Tahoma" w:cs="Tahoma"/>
              </w:rPr>
              <w:t xml:space="preserve">Det.Sett.V-Integ RCS 00350/2012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EC51FF">
              <w:rPr>
                <w:rFonts w:ascii="Tahoma" w:hAnsi="Tahoma" w:cs="Tahoma"/>
              </w:rPr>
              <w:t xml:space="preserve">08/12/2012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EC51FF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EC51FF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EC51FF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EC51FF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EC51FF">
        <w:rPr>
          <w:rFonts w:ascii="Tahoma" w:hAnsi="Tahoma" w:cs="Tahoma"/>
          <w:b/>
        </w:rPr>
        <w:t xml:space="preserve">PROSIEGUO AFFIDAMENTO ETEROFAMILIARE A TEMPO PIENO DI DUE MINORI RESIDENTI A MONOPOLI, AI CONIUGI AFFIDATARI  DE LUCIA – MARZILIANO. IMPEGNO DI SPESA PERIODO OTTOBRE – DICEMBRE 2012.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51FF" w:rsidRDefault="00EC51FF">
      <w:r>
        <w:separator/>
      </w:r>
    </w:p>
  </w:endnote>
  <w:endnote w:type="continuationSeparator" w:id="1">
    <w:p w:rsidR="00EC51FF" w:rsidRDefault="00EC51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51FF" w:rsidRDefault="00EC51FF">
      <w:r>
        <w:separator/>
      </w:r>
    </w:p>
  </w:footnote>
  <w:footnote w:type="continuationSeparator" w:id="1">
    <w:p w:rsidR="00EC51FF" w:rsidRDefault="00EC51F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EC51FF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2012-12-19T07:57:00Z</dcterms:created>
  <dcterms:modified xsi:type="dcterms:W3CDTF">2012-12-19T07:57:00Z</dcterms:modified>
</cp:coreProperties>
</file>