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10993">
              <w:rPr>
                <w:rFonts w:ascii="Tahoma" w:hAnsi="Tahoma" w:cs="Tahoma"/>
                <w:b/>
                <w:sz w:val="28"/>
                <w:szCs w:val="28"/>
              </w:rPr>
              <w:t xml:space="preserve">R.C.G.01702_2012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10993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10993">
              <w:rPr>
                <w:rFonts w:ascii="Tahoma" w:hAnsi="Tahoma" w:cs="Tahoma"/>
              </w:rPr>
              <w:t xml:space="preserve">Det.Sett.IV-Integ RCS 00066/2012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10993">
              <w:rPr>
                <w:rFonts w:ascii="Tahoma" w:hAnsi="Tahoma" w:cs="Tahoma"/>
              </w:rPr>
              <w:t xml:space="preserve">12/11/2012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10993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10993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10993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1099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10993">
        <w:rPr>
          <w:rFonts w:ascii="Tahoma" w:hAnsi="Tahoma" w:cs="Tahoma"/>
          <w:b/>
        </w:rPr>
        <w:t xml:space="preserve">Lampados S.r.l. c/o Comune di Monopoli. Sentenza n. 1158/2012.  Liquidazione  delle somme dovute comprensive di spese accessorie.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993" w:rsidRDefault="00E10993">
      <w:r>
        <w:separator/>
      </w:r>
    </w:p>
  </w:endnote>
  <w:endnote w:type="continuationSeparator" w:id="0">
    <w:p w:rsidR="00E10993" w:rsidRDefault="00E10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993" w:rsidRDefault="00E10993">
      <w:r>
        <w:separator/>
      </w:r>
    </w:p>
  </w:footnote>
  <w:footnote w:type="continuationSeparator" w:id="0">
    <w:p w:rsidR="00E10993" w:rsidRDefault="00E109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10993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2012-12-19T10:29:00Z</dcterms:created>
  <dcterms:modified xsi:type="dcterms:W3CDTF">2012-12-19T10:29:00Z</dcterms:modified>
</cp:coreProperties>
</file>