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9593E">
              <w:rPr>
                <w:rFonts w:ascii="Tahoma" w:hAnsi="Tahoma" w:cs="Tahoma"/>
                <w:b/>
                <w:sz w:val="28"/>
                <w:szCs w:val="28"/>
              </w:rPr>
              <w:t xml:space="preserve">R.C.G.01708_2012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9593E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49593E">
              <w:rPr>
                <w:rFonts w:ascii="Tahoma" w:hAnsi="Tahoma" w:cs="Tahoma"/>
              </w:rPr>
              <w:t>Det.Sett.IV-Integ</w:t>
            </w:r>
            <w:proofErr w:type="spellEnd"/>
            <w:r w:rsidR="0049593E">
              <w:rPr>
                <w:rFonts w:ascii="Tahoma" w:hAnsi="Tahoma" w:cs="Tahoma"/>
              </w:rPr>
              <w:t xml:space="preserve"> RCS 00077/2012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9593E">
              <w:rPr>
                <w:rFonts w:ascii="Tahoma" w:hAnsi="Tahoma" w:cs="Tahoma"/>
              </w:rPr>
              <w:t xml:space="preserve">28/11/2012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9593E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9593E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9593E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9593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9593E">
        <w:rPr>
          <w:rFonts w:ascii="Tahoma" w:hAnsi="Tahoma" w:cs="Tahoma"/>
          <w:b/>
        </w:rPr>
        <w:t>Caruso Giovanni c/o Comune di Monopoli. Sentenza n. 259/2011.     Liquidazione delle somme dovute , in favore di DUAL  Italia S.p.a., intermediaria assicurativa che opera per conto dell’</w:t>
      </w:r>
      <w:proofErr w:type="spellStart"/>
      <w:r w:rsidR="0049593E">
        <w:rPr>
          <w:rFonts w:ascii="Tahoma" w:hAnsi="Tahoma" w:cs="Tahoma"/>
          <w:b/>
        </w:rPr>
        <w:t>Arch</w:t>
      </w:r>
      <w:proofErr w:type="spellEnd"/>
      <w:r w:rsidR="0049593E">
        <w:rPr>
          <w:rFonts w:ascii="Tahoma" w:hAnsi="Tahoma" w:cs="Tahoma"/>
          <w:b/>
        </w:rPr>
        <w:t xml:space="preserve"> </w:t>
      </w:r>
      <w:proofErr w:type="spellStart"/>
      <w:r w:rsidR="0049593E">
        <w:rPr>
          <w:rFonts w:ascii="Tahoma" w:hAnsi="Tahoma" w:cs="Tahoma"/>
          <w:b/>
        </w:rPr>
        <w:t>Insurance</w:t>
      </w:r>
      <w:proofErr w:type="spellEnd"/>
      <w:r w:rsidR="0049593E">
        <w:rPr>
          <w:rFonts w:ascii="Tahoma" w:hAnsi="Tahoma" w:cs="Tahoma"/>
          <w:b/>
        </w:rPr>
        <w:t xml:space="preserve"> Company (Europe) 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9593E" w:rsidRDefault="0049593E" w:rsidP="0049593E">
      <w:pPr>
        <w:rPr>
          <w:rFonts w:ascii="Tahoma" w:hAnsi="Tahoma" w:cs="Tahoma"/>
        </w:rPr>
      </w:pPr>
    </w:p>
    <w:p w:rsidR="0049593E" w:rsidRPr="0049593E" w:rsidRDefault="0049593E" w:rsidP="0049593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DIBELLO </w:t>
      </w:r>
    </w:p>
    <w:p w:rsidR="0049593E" w:rsidRDefault="0049593E" w:rsidP="0049593E">
      <w:pPr>
        <w:rPr>
          <w:rFonts w:ascii="Tahoma" w:hAnsi="Tahoma" w:cs="Tahoma"/>
        </w:rPr>
      </w:pPr>
    </w:p>
    <w:p w:rsidR="0049593E" w:rsidRPr="0049593E" w:rsidRDefault="0049593E" w:rsidP="0049593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DUAL ITALIA S.p.a. Intermediario  Assicurativo </w:t>
      </w:r>
    </w:p>
    <w:p w:rsidR="0049593E" w:rsidRPr="0049593E" w:rsidRDefault="0049593E" w:rsidP="0049593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Avv. EMANUELA </w:t>
      </w:r>
    </w:p>
    <w:sectPr w:rsidR="0049593E" w:rsidRPr="004959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93E" w:rsidRDefault="0049593E">
      <w:r>
        <w:separator/>
      </w:r>
    </w:p>
  </w:endnote>
  <w:endnote w:type="continuationSeparator" w:id="0">
    <w:p w:rsidR="0049593E" w:rsidRDefault="00495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93E" w:rsidRDefault="0049593E">
      <w:r>
        <w:separator/>
      </w:r>
    </w:p>
  </w:footnote>
  <w:footnote w:type="continuationSeparator" w:id="0">
    <w:p w:rsidR="0049593E" w:rsidRDefault="00495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9593E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2012-12-19T12:01:00Z</dcterms:created>
  <dcterms:modified xsi:type="dcterms:W3CDTF">2012-12-19T12:01:00Z</dcterms:modified>
</cp:coreProperties>
</file>