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E1AA0">
              <w:rPr>
                <w:rFonts w:ascii="Tahoma" w:hAnsi="Tahoma" w:cs="Tahoma"/>
                <w:b/>
                <w:sz w:val="28"/>
                <w:szCs w:val="28"/>
              </w:rPr>
              <w:t xml:space="preserve">R.C.G.01715_2012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E1AA0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E1AA0">
              <w:rPr>
                <w:rFonts w:ascii="Tahoma" w:hAnsi="Tahoma" w:cs="Tahoma"/>
              </w:rPr>
              <w:t xml:space="preserve">Det.Sett.I-Integr RCS 00376/2012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E1AA0">
              <w:rPr>
                <w:rFonts w:ascii="Tahoma" w:hAnsi="Tahoma" w:cs="Tahoma"/>
              </w:rPr>
              <w:t xml:space="preserve">11/12/2012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E1AA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E1AA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E1AA0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E1AA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E1AA0">
        <w:rPr>
          <w:rFonts w:ascii="Tahoma" w:hAnsi="Tahoma" w:cs="Tahoma"/>
          <w:b/>
        </w:rPr>
        <w:t xml:space="preserve">ULTERIORE IMPEGNO DI SPESA PER LIQUIDAZIONE SOMME RELATIVE A SENTENZA N. 241/2012 RESA DAL GIUDICE DI PACE NEL GIUDIZIO PROMOSSO DAL SIG. MONACO R. C/COMUNE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AA0" w:rsidRDefault="00DE1AA0">
      <w:r>
        <w:separator/>
      </w:r>
    </w:p>
  </w:endnote>
  <w:endnote w:type="continuationSeparator" w:id="1">
    <w:p w:rsidR="00DE1AA0" w:rsidRDefault="00DE1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AA0" w:rsidRDefault="00DE1AA0">
      <w:r>
        <w:separator/>
      </w:r>
    </w:p>
  </w:footnote>
  <w:footnote w:type="continuationSeparator" w:id="1">
    <w:p w:rsidR="00DE1AA0" w:rsidRDefault="00DE1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E1AA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2012-12-20T11:08:00Z</dcterms:created>
  <dcterms:modified xsi:type="dcterms:W3CDTF">2012-12-20T11:08:00Z</dcterms:modified>
</cp:coreProperties>
</file>