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363CA">
              <w:rPr>
                <w:rFonts w:ascii="Tahoma" w:hAnsi="Tahoma" w:cs="Tahoma"/>
                <w:b/>
                <w:sz w:val="28"/>
                <w:szCs w:val="28"/>
              </w:rPr>
              <w:t xml:space="preserve">R.C.G.00057_2013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363CA">
              <w:rPr>
                <w:rFonts w:ascii="Tahoma" w:hAnsi="Tahoma" w:cs="Tahoma"/>
                <w:b/>
                <w:sz w:val="28"/>
                <w:szCs w:val="28"/>
              </w:rPr>
              <w:t xml:space="preserve">02/01/2013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363CA">
              <w:rPr>
                <w:rFonts w:ascii="Tahoma" w:hAnsi="Tahoma" w:cs="Tahoma"/>
              </w:rPr>
              <w:t xml:space="preserve">Det.Sett.VI-Integ RCS 00001/2013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363CA">
              <w:rPr>
                <w:rFonts w:ascii="Tahoma" w:hAnsi="Tahoma" w:cs="Tahoma"/>
              </w:rPr>
              <w:t xml:space="preserve">02/01/2013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363CA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363CA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363CA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363C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363CA">
        <w:rPr>
          <w:rFonts w:ascii="Tahoma" w:hAnsi="Tahoma" w:cs="Tahoma"/>
          <w:b/>
        </w:rPr>
        <w:t xml:space="preserve">Determinazione di provvedimento di annullamento in autotutela del verbale di contestazione nr. 16056/G/12 reg. 6364/12 del 14 settembre 2012 – contenzioso proc. civile presso GdiP Monopoli con nr.717/2012 R.G.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63CA" w:rsidRDefault="000363CA">
      <w:r>
        <w:separator/>
      </w:r>
    </w:p>
  </w:endnote>
  <w:endnote w:type="continuationSeparator" w:id="1">
    <w:p w:rsidR="000363CA" w:rsidRDefault="000363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63CA" w:rsidRDefault="000363CA">
      <w:r>
        <w:separator/>
      </w:r>
    </w:p>
  </w:footnote>
  <w:footnote w:type="continuationSeparator" w:id="1">
    <w:p w:rsidR="000363CA" w:rsidRDefault="000363C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363CA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2013-01-02T12:30:00Z</dcterms:created>
  <dcterms:modified xsi:type="dcterms:W3CDTF">2013-01-02T12:30:00Z</dcterms:modified>
</cp:coreProperties>
</file>