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D0E3F">
              <w:rPr>
                <w:rFonts w:ascii="Tahoma" w:hAnsi="Tahoma" w:cs="Tahoma"/>
                <w:b/>
                <w:sz w:val="28"/>
                <w:szCs w:val="28"/>
              </w:rPr>
              <w:t xml:space="preserve">R.C.G.00043_2013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D0E3F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D0E3F">
              <w:rPr>
                <w:rFonts w:ascii="Tahoma" w:hAnsi="Tahoma" w:cs="Tahoma"/>
              </w:rPr>
              <w:t xml:space="preserve">Det.Sett.VI-Integ RCS 00119/2012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D0E3F">
              <w:rPr>
                <w:rFonts w:ascii="Tahoma" w:hAnsi="Tahoma" w:cs="Tahoma"/>
              </w:rPr>
              <w:t xml:space="preserve">12/11/2012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D0E3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D0E3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D0E3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D0E3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D0E3F">
        <w:rPr>
          <w:rFonts w:ascii="Tahoma" w:hAnsi="Tahoma" w:cs="Tahoma"/>
          <w:b/>
        </w:rPr>
        <w:t xml:space="preserve">Fornitura 2 nuovi motoveicoli tipo motocicli 125 cc con allestimenti per servizi Polizia Locale e servizi annessi per le attività istituzionali della Polizia Municipale; rottamazione n.11 ciclomotori vetusti Piaggio Free in dotazione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E3F" w:rsidRDefault="003D0E3F">
      <w:r>
        <w:separator/>
      </w:r>
    </w:p>
  </w:endnote>
  <w:endnote w:type="continuationSeparator" w:id="1">
    <w:p w:rsidR="003D0E3F" w:rsidRDefault="003D0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E3F" w:rsidRDefault="003D0E3F">
      <w:r>
        <w:separator/>
      </w:r>
    </w:p>
  </w:footnote>
  <w:footnote w:type="continuationSeparator" w:id="1">
    <w:p w:rsidR="003D0E3F" w:rsidRDefault="003D0E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0E3F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2013-01-02T12:54:00Z</dcterms:created>
  <dcterms:modified xsi:type="dcterms:W3CDTF">2013-01-02T12:54:00Z</dcterms:modified>
</cp:coreProperties>
</file>