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4402A">
              <w:rPr>
                <w:rFonts w:ascii="Tahoma" w:hAnsi="Tahoma" w:cs="Tahoma"/>
                <w:b/>
                <w:sz w:val="28"/>
                <w:szCs w:val="28"/>
              </w:rPr>
              <w:t xml:space="preserve">R.C.G.00080_2013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4402A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04402A">
              <w:rPr>
                <w:rFonts w:ascii="Tahoma" w:hAnsi="Tahoma" w:cs="Tahoma"/>
              </w:rPr>
              <w:t>Det.Sett.III-Integ</w:t>
            </w:r>
            <w:proofErr w:type="spellEnd"/>
            <w:r w:rsidR="0004402A">
              <w:rPr>
                <w:rFonts w:ascii="Tahoma" w:hAnsi="Tahoma" w:cs="Tahoma"/>
              </w:rPr>
              <w:t xml:space="preserve"> RCS 00399/2012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4402A">
              <w:rPr>
                <w:rFonts w:ascii="Tahoma" w:hAnsi="Tahoma" w:cs="Tahoma"/>
              </w:rPr>
              <w:t xml:space="preserve">27/12/2012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4402A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4402A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4402A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4402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3F1849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4402A">
        <w:rPr>
          <w:rFonts w:ascii="Tahoma" w:hAnsi="Tahoma" w:cs="Tahoma"/>
          <w:b/>
        </w:rPr>
        <w:t xml:space="preserve">Sigg. Di Mola Vito e Biasi Angela  c/ Comune di Monopoli: sentenza nr.148/2012 del Tribunale di Bari. Integrazione. </w:t>
      </w:r>
      <w:bookmarkStart w:id="0" w:name="_GoBack"/>
      <w:bookmarkEnd w:id="0"/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842" w:rsidRDefault="00BE4842">
      <w:r>
        <w:separator/>
      </w:r>
    </w:p>
  </w:endnote>
  <w:endnote w:type="continuationSeparator" w:id="0">
    <w:p w:rsidR="00BE4842" w:rsidRDefault="00BE4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842" w:rsidRDefault="00BE4842">
      <w:r>
        <w:separator/>
      </w:r>
    </w:p>
  </w:footnote>
  <w:footnote w:type="continuationSeparator" w:id="0">
    <w:p w:rsidR="00BE4842" w:rsidRDefault="00BE48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4402A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3F1849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4842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2</cp:revision>
  <cp:lastPrinted>2013-01-04T07:54:00Z</cp:lastPrinted>
  <dcterms:created xsi:type="dcterms:W3CDTF">2013-01-04T07:52:00Z</dcterms:created>
  <dcterms:modified xsi:type="dcterms:W3CDTF">2013-01-04T07:54:00Z</dcterms:modified>
</cp:coreProperties>
</file>