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D5295">
              <w:rPr>
                <w:rFonts w:ascii="Tahoma" w:hAnsi="Tahoma" w:cs="Tahoma"/>
                <w:b/>
                <w:sz w:val="28"/>
                <w:szCs w:val="28"/>
              </w:rPr>
              <w:t xml:space="preserve">R.C.G.00045_2013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D5295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D5295">
              <w:rPr>
                <w:rFonts w:ascii="Tahoma" w:hAnsi="Tahoma" w:cs="Tahoma"/>
              </w:rPr>
              <w:t xml:space="preserve">Det.Sett.III-Integ RCS 00372/2012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D5295">
              <w:rPr>
                <w:rFonts w:ascii="Tahoma" w:hAnsi="Tahoma" w:cs="Tahoma"/>
              </w:rPr>
              <w:t xml:space="preserve">11/12/2012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D529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D529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D5295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D529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D5295">
        <w:rPr>
          <w:rFonts w:ascii="Tahoma" w:hAnsi="Tahoma" w:cs="Tahoma"/>
          <w:b/>
        </w:rPr>
        <w:t xml:space="preserve">Riqualificazione di un immobile comunale sito in via Procaccia da adibire a Centro Polifunzionale con annessi Laboratori Urbani Giovanili per attività multimediali – CUP C63E06000130006 – Rideterminazione quadro economico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295" w:rsidRDefault="000D5295">
      <w:r>
        <w:separator/>
      </w:r>
    </w:p>
  </w:endnote>
  <w:endnote w:type="continuationSeparator" w:id="0">
    <w:p w:rsidR="000D5295" w:rsidRDefault="000D5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295" w:rsidRDefault="000D5295">
      <w:r>
        <w:separator/>
      </w:r>
    </w:p>
  </w:footnote>
  <w:footnote w:type="continuationSeparator" w:id="0">
    <w:p w:rsidR="000D5295" w:rsidRDefault="000D52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295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2013-01-07T07:35:00Z</dcterms:created>
  <dcterms:modified xsi:type="dcterms:W3CDTF">2013-01-07T07:35:00Z</dcterms:modified>
</cp:coreProperties>
</file>