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90993">
              <w:rPr>
                <w:rFonts w:ascii="Tahoma" w:hAnsi="Tahoma" w:cs="Tahoma"/>
                <w:b/>
                <w:sz w:val="28"/>
                <w:szCs w:val="28"/>
              </w:rPr>
              <w:t xml:space="preserve">R.C.G.00171_2013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90993">
              <w:rPr>
                <w:rFonts w:ascii="Tahoma" w:hAnsi="Tahoma" w:cs="Tahoma"/>
                <w:b/>
                <w:sz w:val="28"/>
                <w:szCs w:val="28"/>
              </w:rPr>
              <w:t xml:space="preserve">15/01/2013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90993">
              <w:rPr>
                <w:rFonts w:ascii="Tahoma" w:hAnsi="Tahoma" w:cs="Tahoma"/>
              </w:rPr>
              <w:t xml:space="preserve">Det.Sett.VI-Integ RCS 00004/2013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90993">
              <w:rPr>
                <w:rFonts w:ascii="Tahoma" w:hAnsi="Tahoma" w:cs="Tahoma"/>
              </w:rPr>
              <w:t xml:space="preserve">11/01/2013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90993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90993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90993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9099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90993">
        <w:rPr>
          <w:rFonts w:ascii="Tahoma" w:hAnsi="Tahoma" w:cs="Tahoma"/>
          <w:b/>
        </w:rPr>
        <w:t xml:space="preserve">liquidazioen spese processuali CARUCCI ANGELA - sentenza GdiP 277/2012 - avv. A.nio Sammarelli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993" w:rsidRDefault="00290993">
      <w:r>
        <w:separator/>
      </w:r>
    </w:p>
  </w:endnote>
  <w:endnote w:type="continuationSeparator" w:id="1">
    <w:p w:rsidR="00290993" w:rsidRDefault="002909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993" w:rsidRDefault="00290993">
      <w:r>
        <w:separator/>
      </w:r>
    </w:p>
  </w:footnote>
  <w:footnote w:type="continuationSeparator" w:id="1">
    <w:p w:rsidR="00290993" w:rsidRDefault="002909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90993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2013-01-15T15:25:00Z</dcterms:created>
  <dcterms:modified xsi:type="dcterms:W3CDTF">2013-01-15T15:25:00Z</dcterms:modified>
</cp:coreProperties>
</file>