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C0A52">
              <w:rPr>
                <w:rFonts w:ascii="Tahoma" w:hAnsi="Tahoma" w:cs="Tahoma"/>
                <w:b/>
                <w:sz w:val="28"/>
                <w:szCs w:val="28"/>
              </w:rPr>
              <w:t xml:space="preserve">R.C.G.00198_2013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C0A52">
              <w:rPr>
                <w:rFonts w:ascii="Tahoma" w:hAnsi="Tahoma" w:cs="Tahoma"/>
                <w:b/>
                <w:sz w:val="28"/>
                <w:szCs w:val="28"/>
              </w:rPr>
              <w:t xml:space="preserve">28/01/2013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C0A52">
              <w:rPr>
                <w:rFonts w:ascii="Tahoma" w:hAnsi="Tahoma" w:cs="Tahoma"/>
              </w:rPr>
              <w:t xml:space="preserve">Det.Sett.I-Integr RCS 00010/2013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C0A52">
              <w:rPr>
                <w:rFonts w:ascii="Tahoma" w:hAnsi="Tahoma" w:cs="Tahoma"/>
              </w:rPr>
              <w:t xml:space="preserve">28/01/2013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C0A5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C0A5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C0A52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C0A5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C0A52">
        <w:rPr>
          <w:rFonts w:ascii="Tahoma" w:hAnsi="Tahoma" w:cs="Tahoma"/>
          <w:b/>
        </w:rPr>
        <w:t xml:space="preserve">CAUSA DE MARCO CARMINE C/COMUNE. SENTENZA DEL GIUDICE DI PACE DI MONOPOLI N. 133/2012.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0A52" w:rsidRDefault="00DC0A52">
      <w:r>
        <w:separator/>
      </w:r>
    </w:p>
  </w:endnote>
  <w:endnote w:type="continuationSeparator" w:id="1">
    <w:p w:rsidR="00DC0A52" w:rsidRDefault="00DC0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0A52" w:rsidRDefault="00DC0A52">
      <w:r>
        <w:separator/>
      </w:r>
    </w:p>
  </w:footnote>
  <w:footnote w:type="continuationSeparator" w:id="1">
    <w:p w:rsidR="00DC0A52" w:rsidRDefault="00DC0A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0A52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2013-01-29T07:55:00Z</dcterms:created>
  <dcterms:modified xsi:type="dcterms:W3CDTF">2013-01-29T07:55:00Z</dcterms:modified>
</cp:coreProperties>
</file>