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4BA8">
              <w:rPr>
                <w:rFonts w:ascii="Tahoma" w:hAnsi="Tahoma" w:cs="Tahoma"/>
                <w:b/>
                <w:sz w:val="28"/>
                <w:szCs w:val="28"/>
              </w:rPr>
              <w:t xml:space="preserve">R.C.G.00212_2013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4BA8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4BA8">
              <w:rPr>
                <w:rFonts w:ascii="Tahoma" w:hAnsi="Tahoma" w:cs="Tahoma"/>
              </w:rPr>
              <w:t xml:space="preserve">Det.Sett.IV-Integ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4BA8">
              <w:rPr>
                <w:rFonts w:ascii="Tahoma" w:hAnsi="Tahoma" w:cs="Tahoma"/>
              </w:rPr>
              <w:t xml:space="preserve">04/01/2013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4BA8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4BA8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4BA8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4B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4BA8">
        <w:rPr>
          <w:rFonts w:ascii="Tahoma" w:hAnsi="Tahoma" w:cs="Tahoma"/>
          <w:b/>
        </w:rPr>
        <w:t xml:space="preserve">P.O. FESR 2007-2013 – Asse VII – linea interv._ 7.1 – azione 7.1.2. (P.I.R.P.). Lavori di “Riqualificazione della Lama Pagano nell’ambito del PIRP”. Aggiudicazione definitiva con efficacia sospesa all’impresa Pasquale Alò S.r.l.  – Ridet. quadro econ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24BA8" w:rsidRDefault="00224BA8" w:rsidP="00224BA8">
      <w:pPr>
        <w:rPr>
          <w:rFonts w:ascii="Tahoma" w:hAnsi="Tahoma" w:cs="Tahoma"/>
        </w:rPr>
      </w:pPr>
    </w:p>
    <w:p w:rsidR="00224BA8" w:rsidRPr="00224BA8" w:rsidRDefault="00224BA8" w:rsidP="00224BA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224BA8" w:rsidRPr="00224BA8" w:rsidRDefault="00224BA8" w:rsidP="00224BA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GRASSI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BA8" w:rsidRDefault="00224BA8">
      <w:r>
        <w:separator/>
      </w:r>
    </w:p>
  </w:endnote>
  <w:endnote w:type="continuationSeparator" w:id="0">
    <w:p w:rsidR="00224BA8" w:rsidRDefault="00224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BA8" w:rsidRDefault="00224BA8">
      <w:r>
        <w:separator/>
      </w:r>
    </w:p>
  </w:footnote>
  <w:footnote w:type="continuationSeparator" w:id="0">
    <w:p w:rsidR="00224BA8" w:rsidRDefault="00224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24BA8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2013-01-31T12:14:00Z</dcterms:created>
  <dcterms:modified xsi:type="dcterms:W3CDTF">2013-01-31T12:14:00Z</dcterms:modified>
</cp:coreProperties>
</file>