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72768">
              <w:rPr>
                <w:rFonts w:ascii="Tahoma" w:hAnsi="Tahoma" w:cs="Tahoma"/>
                <w:b/>
                <w:sz w:val="28"/>
                <w:szCs w:val="28"/>
              </w:rPr>
              <w:t xml:space="preserve">R.C.G.00217_2013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2768">
              <w:rPr>
                <w:rFonts w:ascii="Tahoma" w:hAnsi="Tahoma" w:cs="Tahoma"/>
                <w:b/>
                <w:sz w:val="28"/>
                <w:szCs w:val="28"/>
              </w:rPr>
              <w:t xml:space="preserve">31/01/2013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72768">
              <w:rPr>
                <w:rFonts w:ascii="Tahoma" w:hAnsi="Tahoma" w:cs="Tahoma"/>
              </w:rPr>
              <w:t xml:space="preserve">Det.Sett.VI-Integ RCS 00009/2013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2768">
              <w:rPr>
                <w:rFonts w:ascii="Tahoma" w:hAnsi="Tahoma" w:cs="Tahoma"/>
              </w:rPr>
              <w:t xml:space="preserve">23/01/2013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276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276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276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276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2768">
        <w:rPr>
          <w:rFonts w:ascii="Tahoma" w:hAnsi="Tahoma" w:cs="Tahoma"/>
          <w:b/>
        </w:rPr>
        <w:t xml:space="preserve">liquidazione a seguito di sentenze esecutive nr.i 160/12 - 161/12 – 162/12 – 163/12 - 164/12 in questione e di cui ai numeri d’ordine  causa civile: 421/11 422/11, 423/11, 424/11, 425/11 RG, emesse tutte in data  06 settembre 2012, Trib.Bari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768" w:rsidRDefault="00272768">
      <w:r>
        <w:separator/>
      </w:r>
    </w:p>
  </w:endnote>
  <w:endnote w:type="continuationSeparator" w:id="1">
    <w:p w:rsidR="00272768" w:rsidRDefault="00272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768" w:rsidRDefault="00272768">
      <w:r>
        <w:separator/>
      </w:r>
    </w:p>
  </w:footnote>
  <w:footnote w:type="continuationSeparator" w:id="1">
    <w:p w:rsidR="00272768" w:rsidRDefault="00272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276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2013-02-05T12:34:00Z</dcterms:created>
  <dcterms:modified xsi:type="dcterms:W3CDTF">2013-02-05T12:34:00Z</dcterms:modified>
</cp:coreProperties>
</file>