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34EB">
              <w:rPr>
                <w:rFonts w:ascii="Tahoma" w:hAnsi="Tahoma" w:cs="Tahoma"/>
                <w:b/>
                <w:sz w:val="28"/>
                <w:szCs w:val="28"/>
              </w:rPr>
              <w:t xml:space="preserve">R.C.G.00302_2013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34EB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34EB">
              <w:rPr>
                <w:rFonts w:ascii="Tahoma" w:hAnsi="Tahoma" w:cs="Tahoma"/>
              </w:rPr>
              <w:t xml:space="preserve">Det.Sett.I-Integr RCS 00032/2013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34EB">
              <w:rPr>
                <w:rFonts w:ascii="Tahoma" w:hAnsi="Tahoma" w:cs="Tahoma"/>
              </w:rPr>
              <w:t xml:space="preserve">14/02/2013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34E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34E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34EB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34E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34EB">
        <w:rPr>
          <w:rFonts w:ascii="Tahoma" w:hAnsi="Tahoma" w:cs="Tahoma"/>
          <w:b/>
        </w:rPr>
        <w:t xml:space="preserve">INCARICO ALL'AVVOCATURA COMUNALE NELLA PERSONA DELL'AVV. LORENZO DIBELLO PER LA PROPOSIZIONE DELL'APPELLO AVVERSO LA SENTENZA N. 385/12 RESA DAL GIUDICE DI PACE DI MONOPOLI NEL GIUDIZIO TRA TORRISI GIOVANNI ED IL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4EB" w:rsidRDefault="00C634EB">
      <w:r>
        <w:separator/>
      </w:r>
    </w:p>
  </w:endnote>
  <w:endnote w:type="continuationSeparator" w:id="1">
    <w:p w:rsidR="00C634EB" w:rsidRDefault="00C63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4EB" w:rsidRDefault="00C634EB">
      <w:r>
        <w:separator/>
      </w:r>
    </w:p>
  </w:footnote>
  <w:footnote w:type="continuationSeparator" w:id="1">
    <w:p w:rsidR="00C634EB" w:rsidRDefault="00C634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34EB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2013-02-14T17:31:00Z</dcterms:created>
  <dcterms:modified xsi:type="dcterms:W3CDTF">2013-02-14T17:31:00Z</dcterms:modified>
</cp:coreProperties>
</file>