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C3C5D">
              <w:rPr>
                <w:rFonts w:ascii="Tahoma" w:hAnsi="Tahoma" w:cs="Tahoma"/>
                <w:b/>
                <w:sz w:val="28"/>
                <w:szCs w:val="28"/>
              </w:rPr>
              <w:t xml:space="preserve">R.C.G.00312_2013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C3C5D">
              <w:rPr>
                <w:rFonts w:ascii="Tahoma" w:hAnsi="Tahoma" w:cs="Tahoma"/>
                <w:b/>
                <w:sz w:val="28"/>
                <w:szCs w:val="28"/>
              </w:rPr>
              <w:t xml:space="preserve">20/02/2013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C3C5D">
              <w:rPr>
                <w:rFonts w:ascii="Tahoma" w:hAnsi="Tahoma" w:cs="Tahoma"/>
              </w:rPr>
              <w:t xml:space="preserve">Det.Sett.V-Integ RCS 00052/2013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C3C5D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C3C5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C3C5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C3C5D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C3C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C3C5D">
        <w:rPr>
          <w:rFonts w:ascii="Tahoma" w:hAnsi="Tahoma" w:cs="Tahoma"/>
          <w:b/>
        </w:rPr>
        <w:t xml:space="preserve">Servizio di Trasporto Pubblico Locale – Compenso revisionale indici ISTAT in favore di A.T.I. Miccolis/Lentini per l’intero anno 2011. Integrazione alla determinazione dirigenziale n. 1471 del 25/10/2012.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C3C5D" w:rsidRDefault="00FC3C5D" w:rsidP="00FC3C5D">
      <w:pPr>
        <w:rPr>
          <w:rFonts w:ascii="Tahoma" w:hAnsi="Tahoma" w:cs="Tahoma"/>
        </w:rPr>
      </w:pPr>
    </w:p>
    <w:p w:rsidR="00FC3C5D" w:rsidRPr="00FC3C5D" w:rsidRDefault="00FC3C5D" w:rsidP="00FC3C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C5D" w:rsidRDefault="00FC3C5D">
      <w:r>
        <w:separator/>
      </w:r>
    </w:p>
  </w:endnote>
  <w:endnote w:type="continuationSeparator" w:id="1">
    <w:p w:rsidR="00FC3C5D" w:rsidRDefault="00FC3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C5D" w:rsidRDefault="00FC3C5D">
      <w:r>
        <w:separator/>
      </w:r>
    </w:p>
  </w:footnote>
  <w:footnote w:type="continuationSeparator" w:id="1">
    <w:p w:rsidR="00FC3C5D" w:rsidRDefault="00FC3C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3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2013-02-20T10:04:00Z</dcterms:created>
  <dcterms:modified xsi:type="dcterms:W3CDTF">2013-02-20T10:04:00Z</dcterms:modified>
</cp:coreProperties>
</file>