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A773A">
              <w:rPr>
                <w:rFonts w:ascii="Tahoma" w:hAnsi="Tahoma" w:cs="Tahoma"/>
                <w:b/>
                <w:sz w:val="28"/>
                <w:szCs w:val="28"/>
              </w:rPr>
              <w:t xml:space="preserve">R.C.G.00321_2013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A773A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A773A">
              <w:rPr>
                <w:rFonts w:ascii="Tahoma" w:hAnsi="Tahoma" w:cs="Tahoma"/>
              </w:rPr>
              <w:t xml:space="preserve">Det.Sett.II-Integr RCS 00027/2013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A773A">
              <w:rPr>
                <w:rFonts w:ascii="Tahoma" w:hAnsi="Tahoma" w:cs="Tahoma"/>
              </w:rPr>
              <w:t xml:space="preserve">21/02/2013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A773A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A773A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A773A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A773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A773A">
        <w:rPr>
          <w:rFonts w:ascii="Tahoma" w:hAnsi="Tahoma" w:cs="Tahoma"/>
          <w:b/>
        </w:rPr>
        <w:t xml:space="preserve">Disaccertamento dei residui attivi di competenza anno 2012 derivanti da avvisi ICI aree edificabili per i quali sono intervenuti provvedimenti di rettifica e/o annullamento da parte dell’ufficio.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773A" w:rsidRDefault="00BA773A">
      <w:r>
        <w:separator/>
      </w:r>
    </w:p>
  </w:endnote>
  <w:endnote w:type="continuationSeparator" w:id="1">
    <w:p w:rsidR="00BA773A" w:rsidRDefault="00BA77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773A" w:rsidRDefault="00BA773A">
      <w:r>
        <w:separator/>
      </w:r>
    </w:p>
  </w:footnote>
  <w:footnote w:type="continuationSeparator" w:id="1">
    <w:p w:rsidR="00BA773A" w:rsidRDefault="00BA77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A773A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L'abate Manuel</dc:creator>
  <cp:keywords/>
  <cp:lastModifiedBy>L'abate Manuel</cp:lastModifiedBy>
  <cp:revision>1</cp:revision>
  <dcterms:created xsi:type="dcterms:W3CDTF">2013-02-25T10:28:00Z</dcterms:created>
  <dcterms:modified xsi:type="dcterms:W3CDTF">2013-02-25T10:28:00Z</dcterms:modified>
</cp:coreProperties>
</file>