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64BEC">
              <w:rPr>
                <w:rFonts w:ascii="Tahoma" w:hAnsi="Tahoma" w:cs="Tahoma"/>
                <w:b/>
                <w:sz w:val="28"/>
                <w:szCs w:val="28"/>
              </w:rPr>
              <w:t xml:space="preserve">R.C.G.00364_2013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64BEC">
              <w:rPr>
                <w:rFonts w:ascii="Tahoma" w:hAnsi="Tahoma" w:cs="Tahoma"/>
                <w:b/>
                <w:sz w:val="28"/>
                <w:szCs w:val="28"/>
              </w:rPr>
              <w:t xml:space="preserve">28/02/2013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64BEC">
              <w:rPr>
                <w:rFonts w:ascii="Tahoma" w:hAnsi="Tahoma" w:cs="Tahoma"/>
              </w:rPr>
              <w:t xml:space="preserve">Det.Sett.II-Integr RCS 00031/2013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64BEC">
              <w:rPr>
                <w:rFonts w:ascii="Tahoma" w:hAnsi="Tahoma" w:cs="Tahoma"/>
              </w:rPr>
              <w:t xml:space="preserve">27/02/2013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64BE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64BE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64BEC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64BE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64BEC">
        <w:rPr>
          <w:rFonts w:ascii="Tahoma" w:hAnsi="Tahoma" w:cs="Tahoma"/>
          <w:b/>
        </w:rPr>
        <w:t xml:space="preserve">Procedura aperta per l’appalto dei servizi assicurativi del Comune di Monopoli (Lotto 1 Polizza RCAuto/Libro Matricola e Lotto 2 Polizza Infortuni). Determinazione a contrarre. Approvazione atti di gara.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BEC" w:rsidRDefault="00164BEC">
      <w:r>
        <w:separator/>
      </w:r>
    </w:p>
  </w:endnote>
  <w:endnote w:type="continuationSeparator" w:id="0">
    <w:p w:rsidR="00164BEC" w:rsidRDefault="00164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BEC" w:rsidRDefault="00164BEC">
      <w:r>
        <w:separator/>
      </w:r>
    </w:p>
  </w:footnote>
  <w:footnote w:type="continuationSeparator" w:id="0">
    <w:p w:rsidR="00164BEC" w:rsidRDefault="00164B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4BEC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2013-02-28T09:19:00Z</dcterms:created>
  <dcterms:modified xsi:type="dcterms:W3CDTF">2013-02-28T09:19:00Z</dcterms:modified>
</cp:coreProperties>
</file>