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917A3">
              <w:rPr>
                <w:rFonts w:ascii="Tahoma" w:hAnsi="Tahoma" w:cs="Tahoma"/>
                <w:b/>
                <w:sz w:val="28"/>
                <w:szCs w:val="28"/>
              </w:rPr>
              <w:t xml:space="preserve">R.C.G.00366_2013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917A3">
              <w:rPr>
                <w:rFonts w:ascii="Tahoma" w:hAnsi="Tahoma" w:cs="Tahoma"/>
                <w:b/>
                <w:sz w:val="28"/>
                <w:szCs w:val="28"/>
              </w:rPr>
              <w:t xml:space="preserve">28/02/2013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917A3">
              <w:rPr>
                <w:rFonts w:ascii="Tahoma" w:hAnsi="Tahoma" w:cs="Tahoma"/>
              </w:rPr>
              <w:t xml:space="preserve">Det.Sett.VI-Integ RCS 00035/2013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917A3">
              <w:rPr>
                <w:rFonts w:ascii="Tahoma" w:hAnsi="Tahoma" w:cs="Tahoma"/>
              </w:rPr>
              <w:t xml:space="preserve">28/02/2013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917A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917A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917A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917A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917A3">
        <w:rPr>
          <w:rFonts w:ascii="Tahoma" w:hAnsi="Tahoma" w:cs="Tahoma"/>
          <w:b/>
        </w:rPr>
        <w:t xml:space="preserve">Determinazione di annullamento della determina N. RC.G.00310 2013 del 19.02.2013, det. Sett. VI- int. RCS 00027/2013 e relativo allegato e, sostituzione con altera avente ad argomento richiesta di cancellazione dal ruolo esattoriale di somme a ruolo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7A3" w:rsidRDefault="002917A3">
      <w:r>
        <w:separator/>
      </w:r>
    </w:p>
  </w:endnote>
  <w:endnote w:type="continuationSeparator" w:id="1">
    <w:p w:rsidR="002917A3" w:rsidRDefault="00291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7A3" w:rsidRDefault="002917A3">
      <w:r>
        <w:separator/>
      </w:r>
    </w:p>
  </w:footnote>
  <w:footnote w:type="continuationSeparator" w:id="1">
    <w:p w:rsidR="002917A3" w:rsidRDefault="002917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17A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2013-02-28T15:23:00Z</dcterms:created>
  <dcterms:modified xsi:type="dcterms:W3CDTF">2013-02-28T15:23:00Z</dcterms:modified>
</cp:coreProperties>
</file>