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7E3A">
              <w:rPr>
                <w:rFonts w:ascii="Tahoma" w:hAnsi="Tahoma" w:cs="Tahoma"/>
                <w:b/>
                <w:sz w:val="28"/>
                <w:szCs w:val="28"/>
              </w:rPr>
              <w:t xml:space="preserve">R.C.G.00407_2013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7E3A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7E3A">
              <w:rPr>
                <w:rFonts w:ascii="Tahoma" w:hAnsi="Tahoma" w:cs="Tahoma"/>
              </w:rPr>
              <w:t xml:space="preserve">Det.Sett.III-Integ RCS 00061/2013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7E3A">
              <w:rPr>
                <w:rFonts w:ascii="Tahoma" w:hAnsi="Tahoma" w:cs="Tahoma"/>
              </w:rPr>
              <w:t xml:space="preserve">25/02/2013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7E3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7E3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7E3A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7E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7E3A">
        <w:rPr>
          <w:rFonts w:ascii="Tahoma" w:hAnsi="Tahoma" w:cs="Tahoma"/>
          <w:b/>
        </w:rPr>
        <w:t xml:space="preserve">Sistemazione generale di P.zza V.Emanuele - Fontana monumentale - Cottimo fiduciario e affidamento diretto di lavori di manutenzione straordinaria ex art. 125 D.Lgs.163/2006 alla Ditta Nuova Grandi Impianti S.r.l. di Monopoli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E3A" w:rsidRDefault="00D97E3A">
      <w:r>
        <w:separator/>
      </w:r>
    </w:p>
  </w:endnote>
  <w:endnote w:type="continuationSeparator" w:id="1">
    <w:p w:rsidR="00D97E3A" w:rsidRDefault="00D97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E3A" w:rsidRDefault="00D97E3A">
      <w:r>
        <w:separator/>
      </w:r>
    </w:p>
  </w:footnote>
  <w:footnote w:type="continuationSeparator" w:id="1">
    <w:p w:rsidR="00D97E3A" w:rsidRDefault="00D97E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7E3A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2013-03-08T09:26:00Z</dcterms:created>
  <dcterms:modified xsi:type="dcterms:W3CDTF">2013-03-08T09:26:00Z</dcterms:modified>
</cp:coreProperties>
</file>