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D4932">
              <w:rPr>
                <w:rFonts w:ascii="Tahoma" w:hAnsi="Tahoma" w:cs="Tahoma"/>
                <w:b/>
                <w:sz w:val="28"/>
                <w:szCs w:val="28"/>
              </w:rPr>
              <w:t xml:space="preserve">R.C.G.00382_2013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D4932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D4932">
              <w:rPr>
                <w:rFonts w:ascii="Tahoma" w:hAnsi="Tahoma" w:cs="Tahoma"/>
              </w:rPr>
              <w:t xml:space="preserve">Det.Sett.V-Integ RCS 00062/2013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D4932">
              <w:rPr>
                <w:rFonts w:ascii="Tahoma" w:hAnsi="Tahoma" w:cs="Tahoma"/>
              </w:rPr>
              <w:t xml:space="preserve">26/02/2013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D493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D493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D4932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D493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D4932">
        <w:rPr>
          <w:rFonts w:ascii="Tahoma" w:hAnsi="Tahoma" w:cs="Tahoma"/>
          <w:b/>
        </w:rPr>
        <w:t xml:space="preserve">Acquisto di n.10 manifesti necrologici quali simbolo di rappresentanza del Servizio Pubblica Istruzione dell’Ente. Affidamento alla Ditta Agenzia funebre  Mevoli f.lli. Impegno di spesa.  (C.I.G. ZE708842A1)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9D4932" w:rsidRDefault="009D4932" w:rsidP="009D4932">
      <w:pPr>
        <w:rPr>
          <w:rFonts w:ascii="Tahoma" w:hAnsi="Tahoma" w:cs="Tahoma"/>
        </w:rPr>
      </w:pPr>
    </w:p>
    <w:p w:rsidR="009D4932" w:rsidRPr="009D4932" w:rsidRDefault="009D4932" w:rsidP="009D493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AGENZIA FUNEBRE MEVOLI F.LLI S.N.C. </w:t>
      </w:r>
    </w:p>
    <w:sectPr w:rsidR="009D4932" w:rsidRPr="009D49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932" w:rsidRDefault="009D4932">
      <w:r>
        <w:separator/>
      </w:r>
    </w:p>
  </w:endnote>
  <w:endnote w:type="continuationSeparator" w:id="1">
    <w:p w:rsidR="009D4932" w:rsidRDefault="009D49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932" w:rsidRDefault="009D4932">
      <w:r>
        <w:separator/>
      </w:r>
    </w:p>
  </w:footnote>
  <w:footnote w:type="continuationSeparator" w:id="1">
    <w:p w:rsidR="009D4932" w:rsidRDefault="009D49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D4932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2013-03-11T08:19:00Z</dcterms:created>
  <dcterms:modified xsi:type="dcterms:W3CDTF">2013-03-11T08:19:00Z</dcterms:modified>
</cp:coreProperties>
</file>