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3F59">
              <w:rPr>
                <w:rFonts w:ascii="Tahoma" w:hAnsi="Tahoma" w:cs="Tahoma"/>
                <w:b/>
                <w:sz w:val="28"/>
                <w:szCs w:val="28"/>
              </w:rPr>
              <w:t xml:space="preserve">R.C.G.00314_2013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3F59">
              <w:rPr>
                <w:rFonts w:ascii="Tahoma" w:hAnsi="Tahoma" w:cs="Tahoma"/>
                <w:b/>
                <w:sz w:val="28"/>
                <w:szCs w:val="28"/>
              </w:rPr>
              <w:t xml:space="preserve">20/02/2013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3F59">
              <w:rPr>
                <w:rFonts w:ascii="Tahoma" w:hAnsi="Tahoma" w:cs="Tahoma"/>
              </w:rPr>
              <w:t xml:space="preserve">Det.Sett.IV-Integ RCS 00020/2013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3F59">
              <w:rPr>
                <w:rFonts w:ascii="Tahoma" w:hAnsi="Tahoma" w:cs="Tahoma"/>
              </w:rPr>
              <w:t xml:space="preserve">20/02/2013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3F59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3F59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3F59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3F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3F59">
        <w:rPr>
          <w:rFonts w:ascii="Tahoma" w:hAnsi="Tahoma" w:cs="Tahoma"/>
          <w:b/>
        </w:rPr>
        <w:t xml:space="preserve">Area Organizzativa IV . Riaccertamento  dei residui attivi e passivi al 31.12.2012 per la formazione del conto del bilancio dell’esercizio finanziario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F59" w:rsidRDefault="000B3F59">
      <w:r>
        <w:separator/>
      </w:r>
    </w:p>
  </w:endnote>
  <w:endnote w:type="continuationSeparator" w:id="0">
    <w:p w:rsidR="000B3F59" w:rsidRDefault="000B3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F59" w:rsidRDefault="000B3F59">
      <w:r>
        <w:separator/>
      </w:r>
    </w:p>
  </w:footnote>
  <w:footnote w:type="continuationSeparator" w:id="0">
    <w:p w:rsidR="000B3F59" w:rsidRDefault="000B3F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B3F59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2013-03-11T09:21:00Z</dcterms:created>
  <dcterms:modified xsi:type="dcterms:W3CDTF">2013-03-11T09:21:00Z</dcterms:modified>
</cp:coreProperties>
</file>