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01BE">
              <w:rPr>
                <w:rFonts w:ascii="Tahoma" w:hAnsi="Tahoma" w:cs="Tahoma"/>
                <w:b/>
                <w:sz w:val="28"/>
                <w:szCs w:val="28"/>
              </w:rPr>
              <w:t xml:space="preserve">R.C.G.00381_2013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01BE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01BE">
              <w:rPr>
                <w:rFonts w:ascii="Tahoma" w:hAnsi="Tahoma" w:cs="Tahoma"/>
              </w:rPr>
              <w:t xml:space="preserve">Det.Sett.IV-Integ RCS 00017/2013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01BE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01B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01B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01BE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01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01BE">
        <w:rPr>
          <w:rFonts w:ascii="Tahoma" w:hAnsi="Tahoma" w:cs="Tahoma"/>
          <w:b/>
        </w:rPr>
        <w:t xml:space="preserve">AREA ORGANIZZATIVA IV EDILIZIA PRIVATA, URBANISTICA ED AMBIENTE; RIACCERTAMENTO DEI RESIDUI ATTIVI E PASSIVI AL 31 DICEMBRE 2012 PER LA FORMAZIONE DEL CONTO DEL BILANCIO DELL'ESERCIZIO FINANZIARIO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1BE" w:rsidRDefault="008101BE">
      <w:r>
        <w:separator/>
      </w:r>
    </w:p>
  </w:endnote>
  <w:endnote w:type="continuationSeparator" w:id="0">
    <w:p w:rsidR="008101BE" w:rsidRDefault="00810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1BE" w:rsidRDefault="008101BE">
      <w:r>
        <w:separator/>
      </w:r>
    </w:p>
  </w:footnote>
  <w:footnote w:type="continuationSeparator" w:id="0">
    <w:p w:rsidR="008101BE" w:rsidRDefault="00810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01B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2013-03-11T09:53:00Z</dcterms:created>
  <dcterms:modified xsi:type="dcterms:W3CDTF">2013-03-11T09:53:00Z</dcterms:modified>
</cp:coreProperties>
</file>