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75924">
              <w:rPr>
                <w:rFonts w:ascii="Tahoma" w:hAnsi="Tahoma" w:cs="Tahoma"/>
                <w:b/>
                <w:sz w:val="28"/>
                <w:szCs w:val="28"/>
              </w:rPr>
              <w:t xml:space="preserve">R.C.G.00427_2013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75924">
              <w:rPr>
                <w:rFonts w:ascii="Tahoma" w:hAnsi="Tahoma" w:cs="Tahoma"/>
                <w:b/>
                <w:sz w:val="28"/>
                <w:szCs w:val="28"/>
              </w:rPr>
              <w:t xml:space="preserve">11/03/2013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75924">
              <w:rPr>
                <w:rFonts w:ascii="Tahoma" w:hAnsi="Tahoma" w:cs="Tahoma"/>
              </w:rPr>
              <w:t xml:space="preserve">Det.Sett.III-Integ RCS 00077/2013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75924">
              <w:rPr>
                <w:rFonts w:ascii="Tahoma" w:hAnsi="Tahoma" w:cs="Tahoma"/>
              </w:rPr>
              <w:t xml:space="preserve">11/03/2013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75924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75924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75924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7592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75924">
        <w:rPr>
          <w:rFonts w:ascii="Tahoma" w:hAnsi="Tahoma" w:cs="Tahoma"/>
          <w:b/>
        </w:rPr>
        <w:t xml:space="preserve">Legge n. 353 del 21 novembre 2000. Catasto delle aree percorse da incendi boschivi anno 2011. Osservazioni presentate dalla Ditta Sisto Angela Addolorata. Conclusione del procedimento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5924" w:rsidRDefault="00B75924">
      <w:r>
        <w:separator/>
      </w:r>
    </w:p>
  </w:endnote>
  <w:endnote w:type="continuationSeparator" w:id="0">
    <w:p w:rsidR="00B75924" w:rsidRDefault="00B759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5924" w:rsidRDefault="00B75924">
      <w:r>
        <w:separator/>
      </w:r>
    </w:p>
  </w:footnote>
  <w:footnote w:type="continuationSeparator" w:id="0">
    <w:p w:rsidR="00B75924" w:rsidRDefault="00B759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75924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2013-03-11T10:27:00Z</dcterms:created>
  <dcterms:modified xsi:type="dcterms:W3CDTF">2013-03-11T10:27:00Z</dcterms:modified>
</cp:coreProperties>
</file>