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854AD">
              <w:rPr>
                <w:rFonts w:ascii="Tahoma" w:hAnsi="Tahoma" w:cs="Tahoma"/>
                <w:b/>
                <w:sz w:val="28"/>
                <w:szCs w:val="28"/>
              </w:rPr>
              <w:t xml:space="preserve">R.C.G.00481_2013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854AD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854AD">
              <w:rPr>
                <w:rFonts w:ascii="Tahoma" w:hAnsi="Tahoma" w:cs="Tahoma"/>
              </w:rPr>
              <w:t xml:space="preserve">Det.Sett.II-Integr RCS 00036/2013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854AD">
              <w:rPr>
                <w:rFonts w:ascii="Tahoma" w:hAnsi="Tahoma" w:cs="Tahoma"/>
              </w:rPr>
              <w:t xml:space="preserve">18/03/2013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854A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854A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854AD">
              <w:rPr>
                <w:rFonts w:ascii="Tahoma" w:hAnsi="Tahoma" w:cs="Tahoma"/>
                <w:b/>
              </w:rPr>
              <w:t xml:space="preserve">INES D'ALESSANDRO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854A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854AD">
        <w:rPr>
          <w:rFonts w:ascii="Tahoma" w:hAnsi="Tahoma" w:cs="Tahoma"/>
          <w:b/>
        </w:rPr>
        <w:t xml:space="preserve">Partecipazione al Seminario “Mercato Elettronico e CONSIP: Istruzioni per l'uso. Casi pratici” organizzato a Bari  giovedì  21 e venerdì 22 marzo 2013,   a cura della Mediaconsult  s.r.l. - Barletta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54AD" w:rsidRDefault="00C854AD">
      <w:r>
        <w:separator/>
      </w:r>
    </w:p>
  </w:endnote>
  <w:endnote w:type="continuationSeparator" w:id="1">
    <w:p w:rsidR="00C854AD" w:rsidRDefault="00C854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54AD" w:rsidRDefault="00C854AD">
      <w:r>
        <w:separator/>
      </w:r>
    </w:p>
  </w:footnote>
  <w:footnote w:type="continuationSeparator" w:id="1">
    <w:p w:rsidR="00C854AD" w:rsidRDefault="00C854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854AD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dalessandro.ines</dc:creator>
  <cp:keywords/>
  <cp:lastModifiedBy>dalessandro.ines</cp:lastModifiedBy>
  <cp:revision>1</cp:revision>
  <dcterms:created xsi:type="dcterms:W3CDTF">2013-03-21T06:32:00Z</dcterms:created>
  <dcterms:modified xsi:type="dcterms:W3CDTF">2013-03-21T06:32:00Z</dcterms:modified>
</cp:coreProperties>
</file>