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5pt;height:117.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5CF5">
              <w:rPr>
                <w:rFonts w:ascii="Tahoma" w:hAnsi="Tahoma" w:cs="Tahoma"/>
                <w:b/>
                <w:sz w:val="28"/>
                <w:szCs w:val="28"/>
              </w:rPr>
              <w:t xml:space="preserve">R.C.G.00520_2013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5CF5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5CF5">
              <w:rPr>
                <w:rFonts w:ascii="Tahoma" w:hAnsi="Tahoma" w:cs="Tahoma"/>
              </w:rPr>
              <w:t xml:space="preserve">Det.Sett.IV-Integ RCS 00026/2013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5CF5">
              <w:rPr>
                <w:rFonts w:ascii="Tahoma" w:hAnsi="Tahoma" w:cs="Tahoma"/>
              </w:rPr>
              <w:t xml:space="preserve">12/03/2013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5CF5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5CF5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5CF5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5C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5CF5">
        <w:rPr>
          <w:rFonts w:ascii="Tahoma" w:hAnsi="Tahoma" w:cs="Tahoma"/>
          <w:b/>
        </w:rPr>
        <w:t xml:space="preserve">Fornitura carburante per autotrazione mediante Fuel Card per l’automezzo Fiat Panda tg. DB 240 BA, in dotazione all’ A.O. IV – Edilizia Privata , Urbanistica ed Ambiente – ditta: Kuwait Petroleum S.p.A./Roma – Convenzionata Consip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B5CF5" w:rsidRDefault="003B5CF5" w:rsidP="003B5CF5">
      <w:pPr>
        <w:rPr>
          <w:rFonts w:ascii="Tahoma" w:hAnsi="Tahoma" w:cs="Tahoma"/>
        </w:rPr>
      </w:pPr>
    </w:p>
    <w:p w:rsidR="003B5CF5" w:rsidRPr="003B5CF5" w:rsidRDefault="003B5CF5" w:rsidP="003B5C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GIAMMARCO MINOIA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CF5" w:rsidRDefault="003B5CF5">
      <w:r>
        <w:separator/>
      </w:r>
    </w:p>
  </w:endnote>
  <w:endnote w:type="continuationSeparator" w:id="0">
    <w:p w:rsidR="003B5CF5" w:rsidRDefault="003B5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CF5" w:rsidRDefault="003B5CF5">
      <w:r>
        <w:separator/>
      </w:r>
    </w:p>
  </w:footnote>
  <w:footnote w:type="continuationSeparator" w:id="0">
    <w:p w:rsidR="003B5CF5" w:rsidRDefault="003B5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5CF5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2013-04-04T06:31:00Z</dcterms:created>
  <dcterms:modified xsi:type="dcterms:W3CDTF">2013-04-04T06:31:00Z</dcterms:modified>
</cp:coreProperties>
</file>