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01FCC">
              <w:rPr>
                <w:rFonts w:ascii="Tahoma" w:hAnsi="Tahoma" w:cs="Tahoma"/>
                <w:b/>
                <w:sz w:val="28"/>
                <w:szCs w:val="28"/>
              </w:rPr>
              <w:t xml:space="preserve">R.C.G.00587_2013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01FCC">
              <w:rPr>
                <w:rFonts w:ascii="Tahoma" w:hAnsi="Tahoma" w:cs="Tahoma"/>
                <w:b/>
                <w:sz w:val="28"/>
                <w:szCs w:val="28"/>
              </w:rPr>
              <w:t xml:space="preserve">16/04/2013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01FCC">
              <w:rPr>
                <w:rFonts w:ascii="Tahoma" w:hAnsi="Tahoma" w:cs="Tahoma"/>
              </w:rPr>
              <w:t xml:space="preserve">Det.Sett.IV-Integ RCS 00029/2013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01FCC">
              <w:rPr>
                <w:rFonts w:ascii="Tahoma" w:hAnsi="Tahoma" w:cs="Tahoma"/>
              </w:rPr>
              <w:t xml:space="preserve">15/03/2013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01FCC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01FCC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01FCC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01FC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01FCC">
        <w:rPr>
          <w:rFonts w:ascii="Tahoma" w:hAnsi="Tahoma" w:cs="Tahoma"/>
          <w:b/>
        </w:rPr>
        <w:t xml:space="preserve">CENTRO SURF snc di Sardella Giuseppe c/o Comune di Monopoli. Sentenza n. 894/2012.  Liquidazione, all'Avv. De Felice A. L.,  delle somme dovute comprensive di spese accessorie.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FCC" w:rsidRDefault="00D01FCC">
      <w:r>
        <w:separator/>
      </w:r>
    </w:p>
  </w:endnote>
  <w:endnote w:type="continuationSeparator" w:id="0">
    <w:p w:rsidR="00D01FCC" w:rsidRDefault="00D0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FCC" w:rsidRDefault="00D01FCC">
      <w:r>
        <w:separator/>
      </w:r>
    </w:p>
  </w:footnote>
  <w:footnote w:type="continuationSeparator" w:id="0">
    <w:p w:rsidR="00D01FCC" w:rsidRDefault="00D01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01FCC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2013-04-17T07:28:00Z</dcterms:created>
  <dcterms:modified xsi:type="dcterms:W3CDTF">2013-04-17T07:28:00Z</dcterms:modified>
</cp:coreProperties>
</file>