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773D2">
              <w:rPr>
                <w:rFonts w:ascii="Tahoma" w:hAnsi="Tahoma" w:cs="Tahoma"/>
                <w:b/>
                <w:sz w:val="28"/>
                <w:szCs w:val="28"/>
              </w:rPr>
              <w:t xml:space="preserve">R.C.G.00591_2013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73D2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773D2">
              <w:rPr>
                <w:rFonts w:ascii="Tahoma" w:hAnsi="Tahoma" w:cs="Tahoma"/>
              </w:rPr>
              <w:t xml:space="preserve">Det.Sett.III-Integ RCS 00101/2013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73D2">
              <w:rPr>
                <w:rFonts w:ascii="Tahoma" w:hAnsi="Tahoma" w:cs="Tahoma"/>
              </w:rPr>
              <w:t xml:space="preserve">03/04/2013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73D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73D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73D2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73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73D2">
        <w:rPr>
          <w:rFonts w:ascii="Tahoma" w:hAnsi="Tahoma" w:cs="Tahoma"/>
          <w:b/>
        </w:rPr>
        <w:t xml:space="preserve">“Monopoli in scena - Sistemazione esterna del complesso edilizio ex mattatoio in via Procaccia” CUP C67B11000000001. Impegno somme per oneri istruttori per rilascio dell’attestazione di avvenuto deposito ex art.65 e 93 DPR 380/2001.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3D2" w:rsidRDefault="006773D2">
      <w:r>
        <w:separator/>
      </w:r>
    </w:p>
  </w:endnote>
  <w:endnote w:type="continuationSeparator" w:id="0">
    <w:p w:rsidR="006773D2" w:rsidRDefault="006773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3D2" w:rsidRDefault="006773D2">
      <w:r>
        <w:separator/>
      </w:r>
    </w:p>
  </w:footnote>
  <w:footnote w:type="continuationSeparator" w:id="0">
    <w:p w:rsidR="006773D2" w:rsidRDefault="006773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773D2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2013-04-17T08:21:00Z</dcterms:created>
  <dcterms:modified xsi:type="dcterms:W3CDTF">2013-04-17T08:22:00Z</dcterms:modified>
</cp:coreProperties>
</file>