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75BE0">
              <w:rPr>
                <w:rFonts w:ascii="Tahoma" w:hAnsi="Tahoma" w:cs="Tahoma"/>
                <w:b/>
                <w:sz w:val="28"/>
                <w:szCs w:val="28"/>
              </w:rPr>
              <w:t xml:space="preserve">R.C.G.00608_2013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75BE0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75BE0">
              <w:rPr>
                <w:rFonts w:ascii="Tahoma" w:hAnsi="Tahoma" w:cs="Tahoma"/>
              </w:rPr>
              <w:t xml:space="preserve">Det.Sett.VI-Integ RCS 00052/2013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75BE0">
              <w:rPr>
                <w:rFonts w:ascii="Tahoma" w:hAnsi="Tahoma" w:cs="Tahoma"/>
              </w:rPr>
              <w:t xml:space="preserve">10/04/2013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75BE0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75BE0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75BE0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75BE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75BE0">
        <w:rPr>
          <w:rFonts w:ascii="Tahoma" w:hAnsi="Tahoma" w:cs="Tahoma"/>
          <w:b/>
        </w:rPr>
        <w:t xml:space="preserve">Determ. inerente il Provvedimento annullamento Ord.Ing.nr. 462 del 06/9/2012, prot.nr. 44775, reg.int. nr. 69/2012, a carico di Megagest srl, con sede legale in Trani, e liquid. spese legali a chiusura contenzioso giudiziario presso GdiP Monopoli.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5BE0" w:rsidRDefault="00875BE0">
      <w:r>
        <w:separator/>
      </w:r>
    </w:p>
  </w:endnote>
  <w:endnote w:type="continuationSeparator" w:id="1">
    <w:p w:rsidR="00875BE0" w:rsidRDefault="00875B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5BE0" w:rsidRDefault="00875BE0">
      <w:r>
        <w:separator/>
      </w:r>
    </w:p>
  </w:footnote>
  <w:footnote w:type="continuationSeparator" w:id="1">
    <w:p w:rsidR="00875BE0" w:rsidRDefault="00875B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75BE0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2013-04-17T13:25:00Z</dcterms:created>
  <dcterms:modified xsi:type="dcterms:W3CDTF">2013-04-17T13:25:00Z</dcterms:modified>
</cp:coreProperties>
</file>