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FCB" w:rsidRPr="00CF7D54" w:rsidRDefault="009D0739" w:rsidP="009D0739">
      <w:pPr>
        <w:jc w:val="center"/>
        <w:rPr>
          <w:rFonts w:ascii="Arial Narrow" w:hAnsi="Arial Narrow"/>
          <w:b/>
          <w:color w:val="FF0000"/>
          <w:sz w:val="30"/>
          <w:szCs w:val="30"/>
        </w:rPr>
      </w:pPr>
      <w:bookmarkStart w:id="0" w:name="_GoBack"/>
      <w:bookmarkEnd w:id="0"/>
      <w:r w:rsidRPr="00CF7D54">
        <w:rPr>
          <w:rFonts w:ascii="Arial Narrow" w:hAnsi="Arial Narrow"/>
          <w:b/>
          <w:color w:val="FF0000"/>
          <w:sz w:val="30"/>
          <w:szCs w:val="30"/>
        </w:rPr>
        <w:t>VADEMECUM FONDO FUNZIONI TECNICHE</w:t>
      </w:r>
    </w:p>
    <w:p w:rsidR="009D0739" w:rsidRPr="00CF7D54" w:rsidRDefault="009D0739" w:rsidP="009D0739">
      <w:pPr>
        <w:jc w:val="center"/>
        <w:rPr>
          <w:rFonts w:ascii="Arial Narrow" w:hAnsi="Arial Narrow"/>
          <w:b/>
        </w:rPr>
      </w:pPr>
    </w:p>
    <w:p w:rsidR="009D0739" w:rsidRPr="00CF7D54" w:rsidRDefault="009D0739" w:rsidP="009D0739">
      <w:pPr>
        <w:rPr>
          <w:rFonts w:ascii="Arial Narrow" w:hAnsi="Arial Narrow"/>
          <w:b/>
        </w:rPr>
      </w:pPr>
      <w:r w:rsidRPr="00CF7D54">
        <w:rPr>
          <w:rFonts w:ascii="Arial Narrow" w:hAnsi="Arial Narrow"/>
          <w:b/>
        </w:rPr>
        <w:t>QUANDO SI APPLICA IL F.F.T.</w:t>
      </w:r>
    </w:p>
    <w:p w:rsidR="009D0739" w:rsidRDefault="008225B3" w:rsidP="009D0739">
      <w:pPr>
        <w:jc w:val="both"/>
        <w:rPr>
          <w:rFonts w:ascii="Arial Narrow" w:hAnsi="Arial Narrow" w:cs="Verdana"/>
        </w:rPr>
      </w:pPr>
      <w:r w:rsidRPr="008225B3">
        <w:rPr>
          <w:rFonts w:ascii="Arial Narrow" w:hAnsi="Arial Narrow" w:cs="Verdana"/>
        </w:rPr>
        <w:t>Per la realizzazione di lavori pubblici e p</w:t>
      </w:r>
      <w:r w:rsidR="009D0739" w:rsidRPr="008225B3">
        <w:rPr>
          <w:rFonts w:ascii="Arial Narrow" w:hAnsi="Arial Narrow" w:cs="Verdana"/>
        </w:rPr>
        <w:t xml:space="preserve">er appalti </w:t>
      </w:r>
      <w:r w:rsidRPr="008225B3">
        <w:rPr>
          <w:rFonts w:ascii="Arial Narrow" w:hAnsi="Arial Narrow" w:cs="Verdana"/>
        </w:rPr>
        <w:t>di</w:t>
      </w:r>
      <w:r w:rsidR="009D0739" w:rsidRPr="008225B3">
        <w:rPr>
          <w:rFonts w:ascii="Arial Narrow" w:hAnsi="Arial Narrow" w:cs="Verdana"/>
        </w:rPr>
        <w:t xml:space="preserve"> servizi e forniture</w:t>
      </w:r>
      <w:r w:rsidR="009D0739" w:rsidRPr="00CF7D54">
        <w:rPr>
          <w:rFonts w:ascii="Arial Narrow" w:hAnsi="Arial Narrow" w:cs="Verdana"/>
        </w:rPr>
        <w:t xml:space="preserve"> che richiedano un capitolato d’appalto e un’attività di programmazione e che prevedano un collaudo finale o atto equivalente (visto di regolare esecuzione)</w:t>
      </w:r>
      <w:r w:rsidR="009711FA">
        <w:rPr>
          <w:rFonts w:ascii="Arial Narrow" w:hAnsi="Arial Narrow" w:cs="Verdana"/>
        </w:rPr>
        <w:t>.</w:t>
      </w:r>
    </w:p>
    <w:p w:rsidR="008225B3" w:rsidRPr="00CF7D54" w:rsidRDefault="008225B3" w:rsidP="008225B3">
      <w:pPr>
        <w:jc w:val="both"/>
        <w:rPr>
          <w:rFonts w:ascii="Arial Narrow" w:hAnsi="Arial Narrow" w:cs="Verdana"/>
        </w:rPr>
      </w:pPr>
      <w:r>
        <w:rPr>
          <w:rFonts w:ascii="Arial Narrow" w:hAnsi="Arial Narrow" w:cs="Verdana"/>
        </w:rPr>
        <w:t xml:space="preserve">Non si applica in </w:t>
      </w:r>
      <w:r w:rsidRPr="008225B3">
        <w:rPr>
          <w:rFonts w:ascii="Arial Narrow" w:hAnsi="Arial Narrow" w:cs="Verdana"/>
        </w:rPr>
        <w:t>tutti quegli affidamenti che non comportino una preventiva attività di progettazione e programmazione e in generale tutti gli interventi relativi a lavori, forniture e servizi eseguiti senza la predisposizione di alcun elaborato tecnico o capitolato, ossia su semplice richiesta di preventivo. Sono escluse altresì le forniture di acquisto di beni di consumo e i lavori, servizi e forniture che vengono commissionati tramite affidamento diretto.</w:t>
      </w:r>
    </w:p>
    <w:p w:rsidR="009D0739" w:rsidRPr="00CF7D54" w:rsidRDefault="00942F57" w:rsidP="009D0739">
      <w:pPr>
        <w:jc w:val="both"/>
        <w:rPr>
          <w:rFonts w:ascii="Arial Narrow" w:hAnsi="Arial Narrow"/>
          <w:b/>
        </w:rPr>
      </w:pPr>
      <w:r w:rsidRPr="00CF7D54">
        <w:rPr>
          <w:rFonts w:ascii="Arial Narrow" w:hAnsi="Arial Narrow"/>
          <w:b/>
        </w:rPr>
        <w:t xml:space="preserve">IMPORTO </w:t>
      </w:r>
      <w:r w:rsidR="001523F1">
        <w:rPr>
          <w:rFonts w:ascii="Arial Narrow" w:hAnsi="Arial Narrow"/>
          <w:b/>
        </w:rPr>
        <w:t xml:space="preserve">E DESTINAZIONE </w:t>
      </w:r>
      <w:r w:rsidRPr="00CF7D54">
        <w:rPr>
          <w:rFonts w:ascii="Arial Narrow" w:hAnsi="Arial Narrow"/>
          <w:b/>
        </w:rPr>
        <w:t>DEL FONDO</w:t>
      </w:r>
    </w:p>
    <w:p w:rsidR="00C76A7E" w:rsidRPr="00CF7D54" w:rsidRDefault="00C76A7E" w:rsidP="00C76A7E">
      <w:pPr>
        <w:jc w:val="both"/>
        <w:rPr>
          <w:rFonts w:ascii="Arial Narrow" w:hAnsi="Arial Narrow" w:cstheme="minorHAnsi"/>
        </w:rPr>
      </w:pPr>
      <w:r w:rsidRPr="00CF7D54">
        <w:rPr>
          <w:rFonts w:ascii="Arial Narrow" w:hAnsi="Arial Narrow" w:cs="Verdana"/>
        </w:rPr>
        <w:t>L’importo del fondo è pari al 2% del valore dell’appalto. Di tale valore, l’80% (1,6%) è destinato a compensi al personale</w:t>
      </w:r>
      <w:r w:rsidR="00F70178">
        <w:rPr>
          <w:rFonts w:ascii="Arial Narrow" w:hAnsi="Arial Narrow" w:cs="Verdana"/>
        </w:rPr>
        <w:t xml:space="preserve"> (</w:t>
      </w:r>
      <w:r w:rsidR="009711FA">
        <w:rPr>
          <w:rFonts w:ascii="Arial Narrow" w:hAnsi="Arial Narrow" w:cs="Verdana"/>
        </w:rPr>
        <w:t xml:space="preserve"> compresi gli oneri riflessi e </w:t>
      </w:r>
      <w:proofErr w:type="spellStart"/>
      <w:r w:rsidR="009711FA">
        <w:rPr>
          <w:rFonts w:ascii="Arial Narrow" w:hAnsi="Arial Narrow" w:cs="Verdana"/>
        </w:rPr>
        <w:t>l’irap</w:t>
      </w:r>
      <w:proofErr w:type="spellEnd"/>
      <w:r w:rsidR="00F70178">
        <w:rPr>
          <w:rFonts w:ascii="Arial Narrow" w:hAnsi="Arial Narrow" w:cs="Verdana"/>
        </w:rPr>
        <w:t>)</w:t>
      </w:r>
      <w:r w:rsidRPr="00CF7D54">
        <w:rPr>
          <w:rFonts w:ascii="Arial Narrow" w:hAnsi="Arial Narrow" w:cs="Verdana"/>
        </w:rPr>
        <w:t xml:space="preserve"> e il restante 20% (0,4%) è destinato a: acquisto di beni, strumentazioni e tecnologie funzionali a progetti di innovazione (anche per il progressivo uso di metodi e strumenti elettronici specifici di modellazione elettronica informativa per l'edilizia e le infrastrutture), di implementazione delle banche dati per il controllo e il miglioramento della capacità di spesa e di efficientamento informatico, con particolare riferimento alle metodologie e strumentazioni elettroniche per i controlli; attivazione di tirocini formativi e di orientamento di cui all'articolo 18 della legge 24 giugno 1997, n. 196 o per lo </w:t>
      </w:r>
      <w:r w:rsidRPr="00CF7D54">
        <w:rPr>
          <w:rFonts w:ascii="Arial Narrow" w:hAnsi="Arial Narrow" w:cstheme="minorHAnsi"/>
        </w:rPr>
        <w:t>svolgimento di dottorati di ricerca di alta qualificazione nel settore dei contratti pubblici previa sottoscrizione di apposite convenzioni con le Università e gli istituti scolastici superiori.</w:t>
      </w:r>
    </w:p>
    <w:p w:rsidR="00C76A7E" w:rsidRPr="00CF7D54" w:rsidRDefault="00C76A7E" w:rsidP="009D0739">
      <w:pPr>
        <w:jc w:val="both"/>
        <w:rPr>
          <w:rFonts w:ascii="Arial Narrow" w:hAnsi="Arial Narrow" w:cstheme="minorHAnsi"/>
        </w:rPr>
      </w:pPr>
      <w:r w:rsidRPr="00CF7D54">
        <w:rPr>
          <w:rFonts w:ascii="Arial Narrow" w:hAnsi="Arial Narrow" w:cstheme="minorHAnsi"/>
        </w:rPr>
        <w:t>L’importo del fondo non è soggetto a ribasso.</w:t>
      </w:r>
    </w:p>
    <w:p w:rsidR="00C76A7E" w:rsidRPr="00CF7D54" w:rsidRDefault="00C76A7E" w:rsidP="009D0739">
      <w:pPr>
        <w:jc w:val="both"/>
        <w:rPr>
          <w:rFonts w:ascii="Arial Narrow" w:hAnsi="Arial Narrow" w:cstheme="minorHAnsi"/>
        </w:rPr>
      </w:pPr>
    </w:p>
    <w:p w:rsidR="00CF7D54" w:rsidRDefault="00CF7D54" w:rsidP="009D0739">
      <w:pPr>
        <w:jc w:val="both"/>
        <w:rPr>
          <w:rFonts w:ascii="Arial Narrow" w:hAnsi="Arial Narrow"/>
          <w:b/>
        </w:rPr>
      </w:pPr>
      <w:r w:rsidRPr="00CF7D54">
        <w:rPr>
          <w:rFonts w:ascii="Arial Narrow" w:hAnsi="Arial Narrow"/>
          <w:b/>
        </w:rPr>
        <w:t>PROCEDIMENTO AMMINISTRATIVO</w:t>
      </w:r>
      <w:r w:rsidR="00963126">
        <w:rPr>
          <w:rFonts w:ascii="Arial Narrow" w:hAnsi="Arial Narrow"/>
          <w:b/>
        </w:rPr>
        <w:t>:</w:t>
      </w:r>
    </w:p>
    <w:p w:rsidR="00963126" w:rsidRPr="00CF7D54" w:rsidRDefault="00963126" w:rsidP="009D0739">
      <w:pPr>
        <w:jc w:val="both"/>
        <w:rPr>
          <w:rFonts w:ascii="Arial Narrow" w:hAnsi="Arial Narrow"/>
          <w:b/>
        </w:rPr>
      </w:pPr>
    </w:p>
    <w:p w:rsidR="00C76A7E" w:rsidRPr="008E6A68" w:rsidRDefault="00CF7D54" w:rsidP="00CF7D54">
      <w:pPr>
        <w:pStyle w:val="Paragrafoelenco"/>
        <w:numPr>
          <w:ilvl w:val="0"/>
          <w:numId w:val="3"/>
        </w:numPr>
        <w:jc w:val="both"/>
        <w:rPr>
          <w:rFonts w:ascii="Arial Narrow" w:hAnsi="Arial Narrow" w:cstheme="minorHAnsi"/>
          <w:u w:val="single"/>
        </w:rPr>
      </w:pPr>
      <w:r w:rsidRPr="008E6A68">
        <w:rPr>
          <w:rFonts w:ascii="Arial Narrow" w:hAnsi="Arial Narrow" w:cstheme="minorHAnsi"/>
          <w:u w:val="single"/>
        </w:rPr>
        <w:t xml:space="preserve">IMPEGNO DEL FONDO E </w:t>
      </w:r>
      <w:r w:rsidR="00DA4C9F" w:rsidRPr="008E6A68">
        <w:rPr>
          <w:rFonts w:ascii="Arial Narrow" w:hAnsi="Arial Narrow" w:cstheme="minorHAnsi"/>
          <w:u w:val="single"/>
        </w:rPr>
        <w:t>NOMINA COLLABORATORI</w:t>
      </w:r>
    </w:p>
    <w:p w:rsidR="009D7ED4" w:rsidRDefault="00DA4C9F" w:rsidP="009D7ED4">
      <w:pPr>
        <w:ind w:left="709"/>
        <w:jc w:val="both"/>
        <w:rPr>
          <w:rFonts w:ascii="Arial Narrow" w:hAnsi="Arial Narrow" w:cs="Verdana"/>
        </w:rPr>
      </w:pPr>
      <w:r>
        <w:rPr>
          <w:rFonts w:ascii="Arial Narrow" w:hAnsi="Arial Narrow" w:cs="Verdana"/>
        </w:rPr>
        <w:t xml:space="preserve">Con la </w:t>
      </w:r>
      <w:r w:rsidR="009D0739">
        <w:rPr>
          <w:rFonts w:ascii="Arial Narrow" w:hAnsi="Arial Narrow" w:cs="Verdana"/>
        </w:rPr>
        <w:t xml:space="preserve">determinazione </w:t>
      </w:r>
      <w:r w:rsidR="003F5FD4">
        <w:rPr>
          <w:rFonts w:ascii="Arial Narrow" w:hAnsi="Arial Narrow" w:cs="Verdana"/>
        </w:rPr>
        <w:t>di</w:t>
      </w:r>
      <w:r w:rsidR="009D0739">
        <w:rPr>
          <w:rFonts w:ascii="Arial Narrow" w:hAnsi="Arial Narrow" w:cs="Verdana"/>
        </w:rPr>
        <w:t xml:space="preserve"> affidamento</w:t>
      </w:r>
      <w:r w:rsidR="00D907B5">
        <w:rPr>
          <w:rFonts w:ascii="Arial Narrow" w:hAnsi="Arial Narrow" w:cs="Verdana"/>
        </w:rPr>
        <w:t xml:space="preserve"> predisposta dal </w:t>
      </w:r>
      <w:r w:rsidR="009D0739">
        <w:rPr>
          <w:rFonts w:ascii="Arial Narrow" w:hAnsi="Arial Narrow" w:cs="Verdana"/>
        </w:rPr>
        <w:t>RUP</w:t>
      </w:r>
      <w:r w:rsidR="00D907B5">
        <w:rPr>
          <w:rFonts w:ascii="Arial Narrow" w:hAnsi="Arial Narrow" w:cs="Verdana"/>
        </w:rPr>
        <w:t>,</w:t>
      </w:r>
      <w:r w:rsidR="009D0739">
        <w:rPr>
          <w:rFonts w:ascii="Arial Narrow" w:hAnsi="Arial Narrow" w:cs="Verdana"/>
        </w:rPr>
        <w:t xml:space="preserve"> </w:t>
      </w:r>
      <w:r w:rsidR="00D907B5">
        <w:rPr>
          <w:rFonts w:ascii="Arial Narrow" w:hAnsi="Arial Narrow" w:cs="Verdana"/>
        </w:rPr>
        <w:t xml:space="preserve">viene impegnato </w:t>
      </w:r>
      <w:r w:rsidR="009D0739">
        <w:rPr>
          <w:rFonts w:ascii="Arial Narrow" w:hAnsi="Arial Narrow" w:cs="Verdana"/>
        </w:rPr>
        <w:t>sul capitolo dell’appalto il fondo funzioni tecniche.</w:t>
      </w:r>
      <w:r>
        <w:rPr>
          <w:rFonts w:ascii="Arial Narrow" w:hAnsi="Arial Narrow" w:cs="Verdana"/>
        </w:rPr>
        <w:t xml:space="preserve"> L’</w:t>
      </w:r>
      <w:r w:rsidR="00CB7E63">
        <w:rPr>
          <w:rFonts w:ascii="Arial Narrow" w:hAnsi="Arial Narrow" w:cs="Verdana"/>
        </w:rPr>
        <w:t>impegno deve essere</w:t>
      </w:r>
      <w:r w:rsidR="00D907B5">
        <w:rPr>
          <w:rFonts w:ascii="Arial Narrow" w:hAnsi="Arial Narrow" w:cs="Verdana"/>
        </w:rPr>
        <w:t xml:space="preserve"> imputato all’anno corrente, al fine di evitare complicazioni contabili</w:t>
      </w:r>
      <w:r>
        <w:rPr>
          <w:rFonts w:ascii="Arial Narrow" w:hAnsi="Arial Narrow" w:cs="Verdana"/>
        </w:rPr>
        <w:t xml:space="preserve">. </w:t>
      </w:r>
    </w:p>
    <w:p w:rsidR="009D7ED4" w:rsidRDefault="009D0739" w:rsidP="00DA4C9F">
      <w:pPr>
        <w:ind w:left="709"/>
        <w:jc w:val="both"/>
        <w:rPr>
          <w:rFonts w:ascii="Arial Narrow" w:hAnsi="Arial Narrow" w:cs="Verdana"/>
        </w:rPr>
      </w:pPr>
      <w:r>
        <w:rPr>
          <w:rFonts w:ascii="Arial Narrow" w:hAnsi="Arial Narrow" w:cs="Verdana"/>
        </w:rPr>
        <w:t xml:space="preserve">Nello stesso provvedimento, </w:t>
      </w:r>
      <w:r w:rsidR="00CB7E63">
        <w:rPr>
          <w:rFonts w:ascii="Arial Narrow" w:hAnsi="Arial Narrow" w:cs="Verdana"/>
        </w:rPr>
        <w:t>occorre</w:t>
      </w:r>
      <w:r>
        <w:rPr>
          <w:rFonts w:ascii="Arial Narrow" w:hAnsi="Arial Narrow" w:cs="Verdana"/>
        </w:rPr>
        <w:t xml:space="preserve"> individuare i nominativi e </w:t>
      </w:r>
      <w:r w:rsidR="00DA4C9F">
        <w:rPr>
          <w:rFonts w:ascii="Arial Narrow" w:hAnsi="Arial Narrow" w:cs="Verdana"/>
        </w:rPr>
        <w:t>i ruoli del personale coinvolto nell’appalto.</w:t>
      </w:r>
      <w:r w:rsidR="009D7ED4">
        <w:rPr>
          <w:rFonts w:ascii="Arial Narrow" w:hAnsi="Arial Narrow" w:cs="Verdana"/>
        </w:rPr>
        <w:t xml:space="preserve"> </w:t>
      </w:r>
      <w:r w:rsidR="004B2C99">
        <w:rPr>
          <w:rFonts w:ascii="Arial Narrow" w:hAnsi="Arial Narrow" w:cs="Verdana"/>
        </w:rPr>
        <w:t xml:space="preserve">I compiti di “assistenza al </w:t>
      </w:r>
      <w:proofErr w:type="spellStart"/>
      <w:r w:rsidR="004B2C99">
        <w:rPr>
          <w:rFonts w:ascii="Arial Narrow" w:hAnsi="Arial Narrow" w:cs="Verdana"/>
        </w:rPr>
        <w:t>rup</w:t>
      </w:r>
      <w:proofErr w:type="spellEnd"/>
      <w:r w:rsidR="004B2C99">
        <w:rPr>
          <w:rFonts w:ascii="Arial Narrow" w:hAnsi="Arial Narrow" w:cs="Verdana"/>
        </w:rPr>
        <w:t>”</w:t>
      </w:r>
      <w:r w:rsidR="00F70178">
        <w:rPr>
          <w:rFonts w:ascii="Arial Narrow" w:hAnsi="Arial Narrow" w:cs="Verdana"/>
        </w:rPr>
        <w:t xml:space="preserve"> sono eventuali e </w:t>
      </w:r>
      <w:r w:rsidR="004B2C99">
        <w:rPr>
          <w:rFonts w:ascii="Arial Narrow" w:hAnsi="Arial Narrow" w:cs="Verdana"/>
        </w:rPr>
        <w:t xml:space="preserve">non possono essere assegnati al </w:t>
      </w:r>
      <w:proofErr w:type="spellStart"/>
      <w:r w:rsidR="004B2C99">
        <w:rPr>
          <w:rFonts w:ascii="Arial Narrow" w:hAnsi="Arial Narrow" w:cs="Verdana"/>
        </w:rPr>
        <w:t>rup</w:t>
      </w:r>
      <w:proofErr w:type="spellEnd"/>
      <w:r w:rsidR="00F70178">
        <w:rPr>
          <w:rFonts w:ascii="Arial Narrow" w:hAnsi="Arial Narrow" w:cs="Verdana"/>
        </w:rPr>
        <w:t xml:space="preserve"> in quanto già ricompresi nelle proprie mansioni</w:t>
      </w:r>
      <w:r w:rsidR="004B2C99">
        <w:rPr>
          <w:rFonts w:ascii="Arial Narrow" w:hAnsi="Arial Narrow" w:cs="Verdana"/>
        </w:rPr>
        <w:t xml:space="preserve">. </w:t>
      </w:r>
      <w:r w:rsidR="009D7ED4">
        <w:rPr>
          <w:rFonts w:ascii="Arial Narrow" w:hAnsi="Arial Narrow" w:cs="Verdana"/>
        </w:rPr>
        <w:t>L’individuazione dei collaboratori delle altre aree v</w:t>
      </w:r>
      <w:r w:rsidR="00CB7E63">
        <w:rPr>
          <w:rFonts w:ascii="Arial Narrow" w:hAnsi="Arial Narrow" w:cs="Verdana"/>
        </w:rPr>
        <w:t xml:space="preserve">iene </w:t>
      </w:r>
      <w:r w:rsidR="009D7ED4">
        <w:rPr>
          <w:rFonts w:ascii="Arial Narrow" w:hAnsi="Arial Narrow" w:cs="Verdana"/>
        </w:rPr>
        <w:t>effettuata previa intesa con i dirigenti responsabili.</w:t>
      </w:r>
    </w:p>
    <w:p w:rsidR="007D455F" w:rsidRDefault="007D455F" w:rsidP="007D455F">
      <w:pPr>
        <w:ind w:left="709"/>
        <w:jc w:val="both"/>
        <w:rPr>
          <w:rFonts w:ascii="Arial Narrow" w:hAnsi="Arial Narrow" w:cs="Verdana"/>
        </w:rPr>
      </w:pPr>
      <w:r>
        <w:rPr>
          <w:rFonts w:ascii="Arial Narrow" w:hAnsi="Arial Narrow" w:cs="Verdana"/>
        </w:rPr>
        <w:t>Alla determinazione v</w:t>
      </w:r>
      <w:r w:rsidR="00CB7E63">
        <w:rPr>
          <w:rFonts w:ascii="Arial Narrow" w:hAnsi="Arial Narrow" w:cs="Verdana"/>
        </w:rPr>
        <w:t>iene</w:t>
      </w:r>
      <w:r>
        <w:rPr>
          <w:rFonts w:ascii="Arial Narrow" w:hAnsi="Arial Narrow" w:cs="Verdana"/>
        </w:rPr>
        <w:t xml:space="preserve"> allegato l’accluso prospetto contabile. Il RUP d</w:t>
      </w:r>
      <w:r w:rsidR="00CB7E63">
        <w:rPr>
          <w:rFonts w:ascii="Arial Narrow" w:hAnsi="Arial Narrow" w:cs="Verdana"/>
        </w:rPr>
        <w:t>eve</w:t>
      </w:r>
      <w:r>
        <w:rPr>
          <w:rFonts w:ascii="Arial Narrow" w:hAnsi="Arial Narrow" w:cs="Verdana"/>
        </w:rPr>
        <w:t xml:space="preserve"> compilare i primi tre </w:t>
      </w:r>
      <w:proofErr w:type="spellStart"/>
      <w:r>
        <w:rPr>
          <w:rFonts w:ascii="Arial Narrow" w:hAnsi="Arial Narrow" w:cs="Verdana"/>
        </w:rPr>
        <w:t>fg</w:t>
      </w:r>
      <w:proofErr w:type="spellEnd"/>
      <w:r>
        <w:rPr>
          <w:rFonts w:ascii="Arial Narrow" w:hAnsi="Arial Narrow" w:cs="Verdana"/>
        </w:rPr>
        <w:t xml:space="preserve"> di lavoro. I campi da compilare sono esclusivamente quelli di colore blu.</w:t>
      </w:r>
    </w:p>
    <w:p w:rsidR="003F1DBA" w:rsidRDefault="007D455F" w:rsidP="003F1DBA">
      <w:pPr>
        <w:ind w:left="709"/>
        <w:jc w:val="both"/>
        <w:rPr>
          <w:rFonts w:ascii="Arial Narrow" w:hAnsi="Arial Narrow" w:cs="Verdana"/>
        </w:rPr>
      </w:pPr>
      <w:r>
        <w:rPr>
          <w:rFonts w:ascii="Arial Narrow" w:hAnsi="Arial Narrow" w:cs="Verdana"/>
        </w:rPr>
        <w:t xml:space="preserve">L’Ufficio impegni annota gli estremi degli impegni e degli accertamenti nei campi di colore </w:t>
      </w:r>
      <w:r w:rsidR="00193508">
        <w:rPr>
          <w:rFonts w:ascii="Arial Narrow" w:hAnsi="Arial Narrow" w:cs="Verdana"/>
        </w:rPr>
        <w:t>verde</w:t>
      </w:r>
      <w:r w:rsidR="003F5FD4">
        <w:rPr>
          <w:rFonts w:ascii="Arial Narrow" w:hAnsi="Arial Narrow" w:cs="Verdana"/>
        </w:rPr>
        <w:t xml:space="preserve"> presenti nel </w:t>
      </w:r>
      <w:proofErr w:type="spellStart"/>
      <w:r w:rsidR="003F5FD4">
        <w:rPr>
          <w:rFonts w:ascii="Arial Narrow" w:hAnsi="Arial Narrow" w:cs="Verdana"/>
        </w:rPr>
        <w:t>fg</w:t>
      </w:r>
      <w:proofErr w:type="spellEnd"/>
      <w:r w:rsidR="003F5FD4">
        <w:rPr>
          <w:rFonts w:ascii="Arial Narrow" w:hAnsi="Arial Narrow" w:cs="Verdana"/>
        </w:rPr>
        <w:t xml:space="preserve"> di lavoro “prospetto impegni”</w:t>
      </w:r>
      <w:r>
        <w:rPr>
          <w:rFonts w:ascii="Arial Narrow" w:hAnsi="Arial Narrow" w:cs="Verdana"/>
        </w:rPr>
        <w:t>.</w:t>
      </w:r>
      <w:r w:rsidR="003F5FD4">
        <w:rPr>
          <w:rFonts w:ascii="Arial Narrow" w:hAnsi="Arial Narrow" w:cs="Verdana"/>
        </w:rPr>
        <w:t xml:space="preserve"> </w:t>
      </w:r>
      <w:r w:rsidR="003F5FD4" w:rsidRPr="003F5FD4">
        <w:rPr>
          <w:rFonts w:ascii="Arial Narrow" w:hAnsi="Arial Narrow" w:cs="Verdana"/>
        </w:rPr>
        <w:t>P</w:t>
      </w:r>
      <w:r w:rsidR="003F1DBA" w:rsidRPr="003F5FD4">
        <w:rPr>
          <w:rFonts w:ascii="Arial Narrow" w:hAnsi="Arial Narrow" w:cs="Verdana"/>
        </w:rPr>
        <w:t>rima di vistare la determinazione, l’ufficio impegni attenderà l’emissione del mandato e della reversale</w:t>
      </w:r>
      <w:r w:rsidR="003F5FD4">
        <w:rPr>
          <w:rFonts w:ascii="Arial Narrow" w:hAnsi="Arial Narrow" w:cs="Verdana"/>
        </w:rPr>
        <w:t xml:space="preserve"> a compensazione</w:t>
      </w:r>
      <w:r w:rsidR="003F1DBA" w:rsidRPr="003F5FD4">
        <w:rPr>
          <w:rFonts w:ascii="Arial Narrow" w:hAnsi="Arial Narrow" w:cs="Verdana"/>
        </w:rPr>
        <w:t xml:space="preserve"> da parte dell’ufficio mandati, dopodiché annoterà gli estremi nei campi di colore verde del </w:t>
      </w:r>
      <w:proofErr w:type="spellStart"/>
      <w:r w:rsidR="003F1DBA" w:rsidRPr="003F5FD4">
        <w:rPr>
          <w:rFonts w:ascii="Arial Narrow" w:hAnsi="Arial Narrow" w:cs="Verdana"/>
        </w:rPr>
        <w:t>fg</w:t>
      </w:r>
      <w:proofErr w:type="spellEnd"/>
      <w:r w:rsidR="003F1DBA" w:rsidRPr="003F5FD4">
        <w:rPr>
          <w:rFonts w:ascii="Arial Narrow" w:hAnsi="Arial Narrow" w:cs="Verdana"/>
        </w:rPr>
        <w:t xml:space="preserve"> di lavoro</w:t>
      </w:r>
      <w:r w:rsidR="003F5FD4">
        <w:rPr>
          <w:rFonts w:ascii="Arial Narrow" w:hAnsi="Arial Narrow" w:cs="Verdana"/>
        </w:rPr>
        <w:t xml:space="preserve"> “liquidazione per uff ragioneria”.</w:t>
      </w:r>
    </w:p>
    <w:p w:rsidR="003F1DBA" w:rsidRDefault="003F1DBA" w:rsidP="007D455F">
      <w:pPr>
        <w:ind w:left="709"/>
        <w:jc w:val="both"/>
        <w:rPr>
          <w:rFonts w:ascii="Arial Narrow" w:hAnsi="Arial Narrow" w:cs="Verdana"/>
        </w:rPr>
      </w:pPr>
    </w:p>
    <w:p w:rsidR="007D455F" w:rsidRDefault="007D455F" w:rsidP="00DA4C9F">
      <w:pPr>
        <w:ind w:left="709"/>
        <w:jc w:val="both"/>
        <w:rPr>
          <w:rFonts w:ascii="Arial Narrow" w:hAnsi="Arial Narrow" w:cs="Verdana"/>
        </w:rPr>
      </w:pPr>
    </w:p>
    <w:p w:rsidR="00D907B5" w:rsidRPr="008E6A68" w:rsidRDefault="00D907B5" w:rsidP="00D907B5">
      <w:pPr>
        <w:pStyle w:val="Paragrafoelenco"/>
        <w:numPr>
          <w:ilvl w:val="0"/>
          <w:numId w:val="3"/>
        </w:numPr>
        <w:jc w:val="both"/>
        <w:rPr>
          <w:rFonts w:ascii="Arial Narrow" w:hAnsi="Arial Narrow" w:cstheme="minorHAnsi"/>
          <w:u w:val="single"/>
        </w:rPr>
      </w:pPr>
      <w:r w:rsidRPr="008E6A68">
        <w:rPr>
          <w:rFonts w:ascii="Arial Narrow" w:hAnsi="Arial Narrow" w:cstheme="minorHAnsi"/>
          <w:u w:val="single"/>
        </w:rPr>
        <w:lastRenderedPageBreak/>
        <w:t>LIQUIDAZIONE INCENTIVI</w:t>
      </w:r>
    </w:p>
    <w:p w:rsidR="003F5FD4" w:rsidRDefault="00D907B5" w:rsidP="00DA4C9F">
      <w:pPr>
        <w:ind w:left="709"/>
        <w:jc w:val="both"/>
        <w:rPr>
          <w:rFonts w:ascii="Arial Narrow" w:hAnsi="Arial Narrow" w:cs="Verdana"/>
        </w:rPr>
      </w:pPr>
      <w:r>
        <w:rPr>
          <w:rFonts w:ascii="Arial Narrow" w:hAnsi="Arial Narrow" w:cs="Verdana"/>
        </w:rPr>
        <w:t>Il RUP predispone la determinazione di liquidazione dell’acconto</w:t>
      </w:r>
      <w:r w:rsidR="003F5FD4">
        <w:rPr>
          <w:rFonts w:ascii="Arial Narrow" w:hAnsi="Arial Narrow" w:cs="Verdana"/>
        </w:rPr>
        <w:t xml:space="preserve">. </w:t>
      </w:r>
      <w:r w:rsidR="003F5FD4" w:rsidRPr="003F5FD4">
        <w:rPr>
          <w:rFonts w:ascii="Arial Narrow" w:hAnsi="Arial Narrow" w:cs="Verdana"/>
        </w:rPr>
        <w:t>La quota in acconto dell’incentivo non potrà essere liquidata prima dell’aggiudicazione dell’appalto relativo</w:t>
      </w:r>
      <w:r w:rsidR="003F5FD4">
        <w:rPr>
          <w:rFonts w:ascii="Arial Narrow" w:hAnsi="Arial Narrow" w:cs="Verdana"/>
        </w:rPr>
        <w:t>.</w:t>
      </w:r>
      <w:r>
        <w:rPr>
          <w:rFonts w:ascii="Arial Narrow" w:hAnsi="Arial Narrow" w:cs="Verdana"/>
        </w:rPr>
        <w:t xml:space="preserve"> </w:t>
      </w:r>
    </w:p>
    <w:p w:rsidR="002A4D23" w:rsidRDefault="00D907B5" w:rsidP="00DA4C9F">
      <w:pPr>
        <w:ind w:left="709"/>
        <w:jc w:val="both"/>
        <w:rPr>
          <w:rFonts w:ascii="Arial Narrow" w:hAnsi="Arial Narrow" w:cs="Verdana"/>
        </w:rPr>
      </w:pPr>
      <w:r>
        <w:rPr>
          <w:rFonts w:ascii="Arial Narrow" w:hAnsi="Arial Narrow" w:cs="Verdana"/>
        </w:rPr>
        <w:t>La determinazione di liquidazione del saldo</w:t>
      </w:r>
      <w:r w:rsidR="002A4D23">
        <w:rPr>
          <w:rFonts w:ascii="Arial Narrow" w:hAnsi="Arial Narrow" w:cs="Verdana"/>
        </w:rPr>
        <w:t xml:space="preserve"> </w:t>
      </w:r>
      <w:r w:rsidR="002A4D23" w:rsidRPr="002A4D23">
        <w:rPr>
          <w:rFonts w:ascii="Arial Narrow" w:hAnsi="Arial Narrow" w:cs="Verdana"/>
        </w:rPr>
        <w:t>dell’incentivo per la direzione dei lavori, per la direzione per l’esecuzione del contratto e il totale del dovuto per i collaudi</w:t>
      </w:r>
      <w:r w:rsidR="002A4D23">
        <w:rPr>
          <w:rFonts w:ascii="Arial Narrow" w:hAnsi="Arial Narrow" w:cs="Verdana"/>
        </w:rPr>
        <w:t xml:space="preserve"> non potrà essere</w:t>
      </w:r>
      <w:r>
        <w:rPr>
          <w:rFonts w:ascii="Arial Narrow" w:hAnsi="Arial Narrow" w:cs="Verdana"/>
        </w:rPr>
        <w:t xml:space="preserve"> predisposta dal RUP </w:t>
      </w:r>
      <w:r w:rsidR="002A4D23" w:rsidRPr="002A4D23">
        <w:rPr>
          <w:rFonts w:ascii="Arial Narrow" w:hAnsi="Arial Narrow" w:cs="Verdana"/>
        </w:rPr>
        <w:t>prima dell’emissione delle corrispondenti certificazioni attestanti la compiuta e regolare esecuzione della prestazione affidata con l’appalto (lavori, servizi, forniture) secondo le disposizioni di Legge (certificato di collaudo, certificato di regolare esecuzione, certificazione di corretta esecuzione della prestazione, ecc.)</w:t>
      </w:r>
    </w:p>
    <w:p w:rsidR="00D907B5" w:rsidRDefault="002A4D23" w:rsidP="002A4D23">
      <w:pPr>
        <w:ind w:left="709"/>
        <w:jc w:val="both"/>
        <w:rPr>
          <w:rFonts w:ascii="Arial Narrow" w:hAnsi="Arial Narrow" w:cs="Verdana"/>
        </w:rPr>
      </w:pPr>
      <w:r>
        <w:rPr>
          <w:rFonts w:ascii="Arial Narrow" w:hAnsi="Arial Narrow" w:cs="Verdana"/>
        </w:rPr>
        <w:t>P</w:t>
      </w:r>
      <w:r w:rsidRPr="002A4D23">
        <w:rPr>
          <w:rFonts w:ascii="Arial Narrow" w:hAnsi="Arial Narrow" w:cs="Verdana"/>
        </w:rPr>
        <w:t xml:space="preserve">er le attività di direzione dell’esecuzione del contratto, nel caso di contratti relativi a forniture e servizi di durata pluriennale, sarà consentita la liquidazione “pro quota” </w:t>
      </w:r>
      <w:r>
        <w:rPr>
          <w:rFonts w:ascii="Arial Narrow" w:hAnsi="Arial Narrow" w:cs="Verdana"/>
        </w:rPr>
        <w:t xml:space="preserve">(proporzionalmente ad ogni SAL liquidato) </w:t>
      </w:r>
      <w:r w:rsidRPr="002A4D23">
        <w:rPr>
          <w:rFonts w:ascii="Arial Narrow" w:hAnsi="Arial Narrow" w:cs="Verdana"/>
        </w:rPr>
        <w:t>al temine della singola annualità di durata del contratto</w:t>
      </w:r>
      <w:r>
        <w:rPr>
          <w:rFonts w:ascii="Arial Narrow" w:hAnsi="Arial Narrow" w:cs="Verdana"/>
        </w:rPr>
        <w:t xml:space="preserve">, </w:t>
      </w:r>
      <w:r w:rsidRPr="002A4D23">
        <w:rPr>
          <w:rFonts w:ascii="Arial Narrow" w:hAnsi="Arial Narrow" w:cs="Verdana"/>
        </w:rPr>
        <w:t>previa emissione di certificazione attestante la regolarità della prestazione effettuata nel corso dell’annualità di riferimento.</w:t>
      </w:r>
    </w:p>
    <w:p w:rsidR="00CB7E63" w:rsidRDefault="00D907B5" w:rsidP="00CB7E63">
      <w:pPr>
        <w:ind w:left="709"/>
        <w:jc w:val="both"/>
        <w:rPr>
          <w:rFonts w:ascii="Arial Narrow" w:hAnsi="Arial Narrow" w:cs="Verdana"/>
        </w:rPr>
      </w:pPr>
      <w:r>
        <w:rPr>
          <w:rFonts w:ascii="Arial Narrow" w:hAnsi="Arial Narrow" w:cs="Verdana"/>
        </w:rPr>
        <w:t xml:space="preserve">Nella determinazione </w:t>
      </w:r>
      <w:r w:rsidR="00E411BD">
        <w:rPr>
          <w:rFonts w:ascii="Arial Narrow" w:hAnsi="Arial Narrow" w:cs="Verdana"/>
        </w:rPr>
        <w:t xml:space="preserve">di liquidazione </w:t>
      </w:r>
      <w:r w:rsidR="00CB7E63">
        <w:rPr>
          <w:rFonts w:ascii="Arial Narrow" w:hAnsi="Arial Narrow" w:cs="Verdana"/>
        </w:rPr>
        <w:t>è</w:t>
      </w:r>
      <w:r>
        <w:rPr>
          <w:rFonts w:ascii="Arial Narrow" w:hAnsi="Arial Narrow" w:cs="Verdana"/>
        </w:rPr>
        <w:t xml:space="preserve"> allegato il prospetto </w:t>
      </w:r>
      <w:r w:rsidR="007D455F">
        <w:rPr>
          <w:rFonts w:ascii="Arial Narrow" w:hAnsi="Arial Narrow" w:cs="Verdana"/>
        </w:rPr>
        <w:t>contabile</w:t>
      </w:r>
      <w:r>
        <w:rPr>
          <w:rFonts w:ascii="Arial Narrow" w:hAnsi="Arial Narrow" w:cs="Verdana"/>
        </w:rPr>
        <w:t xml:space="preserve"> accluso al</w:t>
      </w:r>
      <w:r w:rsidR="007D455F">
        <w:rPr>
          <w:rFonts w:ascii="Arial Narrow" w:hAnsi="Arial Narrow" w:cs="Verdana"/>
        </w:rPr>
        <w:t xml:space="preserve"> presente vademecum</w:t>
      </w:r>
      <w:r>
        <w:rPr>
          <w:rFonts w:ascii="Arial Narrow" w:hAnsi="Arial Narrow" w:cs="Verdana"/>
        </w:rPr>
        <w:t>.</w:t>
      </w:r>
      <w:r w:rsidR="00CB7E63">
        <w:rPr>
          <w:rFonts w:ascii="Arial Narrow" w:hAnsi="Arial Narrow" w:cs="Verdana"/>
        </w:rPr>
        <w:t xml:space="preserve"> Il RUP d</w:t>
      </w:r>
      <w:r w:rsidR="00F70178">
        <w:rPr>
          <w:rFonts w:ascii="Arial Narrow" w:hAnsi="Arial Narrow" w:cs="Verdana"/>
        </w:rPr>
        <w:t>eve</w:t>
      </w:r>
      <w:r w:rsidR="00CB7E63">
        <w:rPr>
          <w:rFonts w:ascii="Arial Narrow" w:hAnsi="Arial Narrow" w:cs="Verdana"/>
        </w:rPr>
        <w:t xml:space="preserve"> compilare gli ultimi due </w:t>
      </w:r>
      <w:proofErr w:type="spellStart"/>
      <w:r w:rsidR="00CB7E63">
        <w:rPr>
          <w:rFonts w:ascii="Arial Narrow" w:hAnsi="Arial Narrow" w:cs="Verdana"/>
        </w:rPr>
        <w:t>fg</w:t>
      </w:r>
      <w:proofErr w:type="spellEnd"/>
      <w:r w:rsidR="00CB7E63">
        <w:rPr>
          <w:rFonts w:ascii="Arial Narrow" w:hAnsi="Arial Narrow" w:cs="Verdana"/>
        </w:rPr>
        <w:t xml:space="preserve"> di lavoro. I campi da compilare sono esclusivamente quelli di colore blu.</w:t>
      </w:r>
    </w:p>
    <w:p w:rsidR="00866FB3" w:rsidRDefault="00CB7E63" w:rsidP="00CB7E63">
      <w:pPr>
        <w:ind w:left="709"/>
        <w:jc w:val="both"/>
        <w:rPr>
          <w:rFonts w:ascii="Arial Narrow" w:hAnsi="Arial Narrow" w:cs="Verdana"/>
        </w:rPr>
      </w:pPr>
      <w:r>
        <w:rPr>
          <w:rFonts w:ascii="Arial Narrow" w:hAnsi="Arial Narrow" w:cs="Verdana"/>
        </w:rPr>
        <w:t xml:space="preserve">L’Ufficio impegni avrà cura di verificare la capienza degli impegni/accertamenti, visualizzando l’ultimo </w:t>
      </w:r>
      <w:proofErr w:type="spellStart"/>
      <w:r>
        <w:rPr>
          <w:rFonts w:ascii="Arial Narrow" w:hAnsi="Arial Narrow" w:cs="Verdana"/>
        </w:rPr>
        <w:t>fg</w:t>
      </w:r>
      <w:proofErr w:type="spellEnd"/>
      <w:r>
        <w:rPr>
          <w:rFonts w:ascii="Arial Narrow" w:hAnsi="Arial Narrow" w:cs="Verdana"/>
        </w:rPr>
        <w:t xml:space="preserve"> di lavoro “</w:t>
      </w:r>
      <w:r w:rsidRPr="00CB7E63">
        <w:rPr>
          <w:rFonts w:ascii="Arial Narrow" w:hAnsi="Arial Narrow" w:cs="Verdana"/>
          <w:i/>
        </w:rPr>
        <w:t>liquidazione x ufficio ragioneria</w:t>
      </w:r>
      <w:r>
        <w:rPr>
          <w:rFonts w:ascii="Arial Narrow" w:hAnsi="Arial Narrow" w:cs="Verdana"/>
        </w:rPr>
        <w:t xml:space="preserve">”. </w:t>
      </w:r>
    </w:p>
    <w:p w:rsidR="008E6A68" w:rsidRDefault="008E6A68" w:rsidP="00DA4C9F">
      <w:pPr>
        <w:ind w:left="709"/>
        <w:jc w:val="both"/>
        <w:rPr>
          <w:rFonts w:ascii="Arial Narrow" w:hAnsi="Arial Narrow" w:cs="Verdana"/>
        </w:rPr>
      </w:pPr>
      <w:r>
        <w:rPr>
          <w:rFonts w:ascii="Arial Narrow" w:hAnsi="Arial Narrow" w:cs="Verdana"/>
        </w:rPr>
        <w:t>Una volta vistata la determinazione, il RUP trasmette</w:t>
      </w:r>
      <w:r w:rsidR="00CB7E63">
        <w:rPr>
          <w:rFonts w:ascii="Arial Narrow" w:hAnsi="Arial Narrow" w:cs="Verdana"/>
        </w:rPr>
        <w:t>rà</w:t>
      </w:r>
      <w:r>
        <w:rPr>
          <w:rFonts w:ascii="Arial Narrow" w:hAnsi="Arial Narrow" w:cs="Verdana"/>
        </w:rPr>
        <w:t xml:space="preserve"> la determinazione all’ufficio personale per l’elaborazione dei cedolini.</w:t>
      </w:r>
      <w:r w:rsidR="00CB7E63">
        <w:rPr>
          <w:rFonts w:ascii="Arial Narrow" w:hAnsi="Arial Narrow" w:cs="Verdana"/>
        </w:rPr>
        <w:t xml:space="preserve"> L’Ufficio personale elaborerà gli stipendi sulla base del </w:t>
      </w:r>
      <w:proofErr w:type="spellStart"/>
      <w:r w:rsidR="00CB7E63">
        <w:rPr>
          <w:rFonts w:ascii="Arial Narrow" w:hAnsi="Arial Narrow" w:cs="Verdana"/>
        </w:rPr>
        <w:t>fg</w:t>
      </w:r>
      <w:proofErr w:type="spellEnd"/>
      <w:r w:rsidR="00CB7E63">
        <w:rPr>
          <w:rFonts w:ascii="Arial Narrow" w:hAnsi="Arial Narrow" w:cs="Verdana"/>
        </w:rPr>
        <w:t xml:space="preserve"> di lavoro “</w:t>
      </w:r>
      <w:r w:rsidR="00CB7E63" w:rsidRPr="00CB7E63">
        <w:rPr>
          <w:rFonts w:ascii="Arial Narrow" w:hAnsi="Arial Narrow" w:cs="Verdana"/>
          <w:i/>
        </w:rPr>
        <w:t>liquidazione x ufficio personale</w:t>
      </w:r>
      <w:r w:rsidR="00CB7E63">
        <w:rPr>
          <w:rFonts w:ascii="Arial Narrow" w:hAnsi="Arial Narrow" w:cs="Verdana"/>
        </w:rPr>
        <w:t>”</w:t>
      </w:r>
      <w:r w:rsidR="00A14779">
        <w:rPr>
          <w:rFonts w:ascii="Arial Narrow" w:hAnsi="Arial Narrow" w:cs="Verdana"/>
        </w:rPr>
        <w:t>.</w:t>
      </w:r>
    </w:p>
    <w:p w:rsidR="00A14779" w:rsidRDefault="00A14779" w:rsidP="00DA4C9F">
      <w:pPr>
        <w:ind w:left="709"/>
        <w:jc w:val="both"/>
        <w:rPr>
          <w:rFonts w:ascii="Arial Narrow" w:hAnsi="Arial Narrow" w:cs="Verdana"/>
        </w:rPr>
      </w:pPr>
    </w:p>
    <w:p w:rsidR="00A14779" w:rsidRPr="008E6A68" w:rsidRDefault="00A14779" w:rsidP="00A14779">
      <w:pPr>
        <w:pStyle w:val="Paragrafoelenco"/>
        <w:numPr>
          <w:ilvl w:val="0"/>
          <w:numId w:val="3"/>
        </w:numPr>
        <w:jc w:val="both"/>
        <w:rPr>
          <w:rFonts w:ascii="Arial Narrow" w:hAnsi="Arial Narrow" w:cstheme="minorHAnsi"/>
          <w:u w:val="single"/>
        </w:rPr>
      </w:pPr>
      <w:r>
        <w:rPr>
          <w:rFonts w:ascii="Arial Narrow" w:hAnsi="Arial Narrow" w:cstheme="minorHAnsi"/>
          <w:u w:val="single"/>
        </w:rPr>
        <w:t>IMPEGNI DI SPESA PER BENI, STRUMENTAZIONI ED ALTRO</w:t>
      </w:r>
    </w:p>
    <w:p w:rsidR="00D907B5" w:rsidRDefault="00F70178" w:rsidP="00DA4C9F">
      <w:pPr>
        <w:ind w:left="709"/>
        <w:jc w:val="both"/>
        <w:rPr>
          <w:rFonts w:ascii="Arial Narrow" w:hAnsi="Arial Narrow" w:cs="Verdana"/>
        </w:rPr>
      </w:pPr>
      <w:r>
        <w:rPr>
          <w:rFonts w:ascii="Arial Narrow" w:hAnsi="Arial Narrow" w:cs="Verdana"/>
        </w:rPr>
        <w:t>Gli impegni di spesa vengono</w:t>
      </w:r>
      <w:r w:rsidR="00A14779">
        <w:rPr>
          <w:rFonts w:ascii="Arial Narrow" w:hAnsi="Arial Narrow" w:cs="Verdana"/>
        </w:rPr>
        <w:t xml:space="preserve"> adottati </w:t>
      </w:r>
      <w:r>
        <w:rPr>
          <w:rFonts w:ascii="Arial Narrow" w:hAnsi="Arial Narrow" w:cs="Verdana"/>
        </w:rPr>
        <w:t xml:space="preserve">con successiva </w:t>
      </w:r>
      <w:r w:rsidR="00A14779">
        <w:rPr>
          <w:rFonts w:ascii="Arial Narrow" w:hAnsi="Arial Narrow" w:cs="Verdana"/>
        </w:rPr>
        <w:t>determinazione</w:t>
      </w:r>
      <w:r>
        <w:rPr>
          <w:rFonts w:ascii="Arial Narrow" w:hAnsi="Arial Narrow" w:cs="Verdana"/>
        </w:rPr>
        <w:t xml:space="preserve">, dopo aver </w:t>
      </w:r>
      <w:r w:rsidR="00A14779">
        <w:rPr>
          <w:rFonts w:ascii="Arial Narrow" w:hAnsi="Arial Narrow" w:cs="Verdana"/>
        </w:rPr>
        <w:t>individua</w:t>
      </w:r>
      <w:r>
        <w:rPr>
          <w:rFonts w:ascii="Arial Narrow" w:hAnsi="Arial Narrow" w:cs="Verdana"/>
        </w:rPr>
        <w:t>to</w:t>
      </w:r>
      <w:r w:rsidR="00A14779">
        <w:rPr>
          <w:rFonts w:ascii="Arial Narrow" w:hAnsi="Arial Narrow" w:cs="Verdana"/>
        </w:rPr>
        <w:t xml:space="preserve"> gli interventi finanziabili ai sensi della normativa vigente. La somma </w:t>
      </w:r>
      <w:r w:rsidR="00EF2DFB">
        <w:rPr>
          <w:rFonts w:ascii="Arial Narrow" w:hAnsi="Arial Narrow" w:cs="Verdana"/>
        </w:rPr>
        <w:t>accertata ma non impegnata nell’</w:t>
      </w:r>
      <w:r w:rsidR="00A14779">
        <w:rPr>
          <w:rFonts w:ascii="Arial Narrow" w:hAnsi="Arial Narrow" w:cs="Verdana"/>
        </w:rPr>
        <w:t>anno, conflui</w:t>
      </w:r>
      <w:r>
        <w:rPr>
          <w:rFonts w:ascii="Arial Narrow" w:hAnsi="Arial Narrow" w:cs="Verdana"/>
        </w:rPr>
        <w:t>sce</w:t>
      </w:r>
      <w:r w:rsidR="00A14779">
        <w:rPr>
          <w:rFonts w:ascii="Arial Narrow" w:hAnsi="Arial Narrow" w:cs="Verdana"/>
        </w:rPr>
        <w:t xml:space="preserve"> in avanzo vincolato</w:t>
      </w:r>
      <w:r w:rsidR="00EF2DFB">
        <w:rPr>
          <w:rFonts w:ascii="Arial Narrow" w:hAnsi="Arial Narrow" w:cs="Verdana"/>
        </w:rPr>
        <w:t>.</w:t>
      </w:r>
    </w:p>
    <w:sectPr w:rsidR="00D907B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F47F2A"/>
    <w:multiLevelType w:val="hybridMultilevel"/>
    <w:tmpl w:val="8E40AF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965108"/>
    <w:multiLevelType w:val="hybridMultilevel"/>
    <w:tmpl w:val="D0026FDE"/>
    <w:lvl w:ilvl="0" w:tplc="F30A72DC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Verdana"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F27B7F"/>
    <w:multiLevelType w:val="hybridMultilevel"/>
    <w:tmpl w:val="F7F040FE"/>
    <w:lvl w:ilvl="0" w:tplc="F30A72DC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Verdana"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C4D"/>
    <w:rsid w:val="001523F1"/>
    <w:rsid w:val="00193508"/>
    <w:rsid w:val="001E762A"/>
    <w:rsid w:val="002A4D23"/>
    <w:rsid w:val="002F2A88"/>
    <w:rsid w:val="003F1DBA"/>
    <w:rsid w:val="003F5FD4"/>
    <w:rsid w:val="004B2C99"/>
    <w:rsid w:val="0055092B"/>
    <w:rsid w:val="00552BD8"/>
    <w:rsid w:val="007D455F"/>
    <w:rsid w:val="008225B3"/>
    <w:rsid w:val="00833823"/>
    <w:rsid w:val="00866FB3"/>
    <w:rsid w:val="008E6A68"/>
    <w:rsid w:val="00942F57"/>
    <w:rsid w:val="00963126"/>
    <w:rsid w:val="009711FA"/>
    <w:rsid w:val="009D0739"/>
    <w:rsid w:val="009D7ED4"/>
    <w:rsid w:val="00A14779"/>
    <w:rsid w:val="00A21FCB"/>
    <w:rsid w:val="00B45C4D"/>
    <w:rsid w:val="00C76A7E"/>
    <w:rsid w:val="00CB7E63"/>
    <w:rsid w:val="00CC3DAB"/>
    <w:rsid w:val="00CF7D54"/>
    <w:rsid w:val="00D907B5"/>
    <w:rsid w:val="00DA4C9F"/>
    <w:rsid w:val="00E411BD"/>
    <w:rsid w:val="00E4214A"/>
    <w:rsid w:val="00EF2DFB"/>
    <w:rsid w:val="00F70178"/>
    <w:rsid w:val="00FA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F80025-BF66-43C7-9BEC-2A1120E33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D07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5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760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SPINOZZI</dc:creator>
  <cp:keywords/>
  <dc:description/>
  <cp:lastModifiedBy>Massimo Di Monte</cp:lastModifiedBy>
  <cp:revision>2</cp:revision>
  <dcterms:created xsi:type="dcterms:W3CDTF">2021-04-22T09:02:00Z</dcterms:created>
  <dcterms:modified xsi:type="dcterms:W3CDTF">2021-04-22T09:02:00Z</dcterms:modified>
</cp:coreProperties>
</file>