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EA" w:rsidRPr="00E91331" w:rsidRDefault="00E91331" w:rsidP="00E91331">
      <w:pPr>
        <w:jc w:val="both"/>
        <w:rPr>
          <w:b/>
          <w:sz w:val="28"/>
        </w:rPr>
      </w:pPr>
      <w:bookmarkStart w:id="0" w:name="_GoBack"/>
      <w:bookmarkEnd w:id="0"/>
      <w:r w:rsidRPr="00E91331">
        <w:rPr>
          <w:b/>
          <w:sz w:val="28"/>
        </w:rPr>
        <w:t>CIRCOLARE: IL RIFIUTO DELLA FATTURA PA</w:t>
      </w:r>
    </w:p>
    <w:p w:rsidR="00E91331" w:rsidRDefault="00E91331" w:rsidP="00E91331">
      <w:pPr>
        <w:jc w:val="both"/>
      </w:pPr>
      <w:r>
        <w:t xml:space="preserve">Con la pubblicazione del decreto 24 agosto 2020, n. 132/2020 sulla Gazzetta Ufficiale n. 262 del 22 ottobre scorso è diventata finalmente operativa – </w:t>
      </w:r>
      <w:r w:rsidRPr="00E91331">
        <w:rPr>
          <w:b/>
        </w:rPr>
        <w:t>con entrata in vigore fissata al prossimo 6 novembre 2020</w:t>
      </w:r>
      <w:r>
        <w:t xml:space="preserve"> – la modifica al D.M. 55/2013 che individua tassativamente le cause per cui le fatture trasmesse agli organi della Pubblica Amministrazione possono essere legittimamente rifiutate dai destinatari, prevedendo altresì le modalità con le quali il ricevente è tenuto a comunicare tale eventualità all’emittente.</w:t>
      </w:r>
    </w:p>
    <w:p w:rsidR="00E91331" w:rsidRDefault="00E91331" w:rsidP="00E91331">
      <w:pPr>
        <w:jc w:val="both"/>
      </w:pPr>
      <w:r>
        <w:t xml:space="preserve">In questo modo, pertanto, si conclude l’iter avviato dal dicastero di Via XX Settembre per l’attuazione alla delega contenuta all’articolo 15-bis del D.L. 23 ottobre 2018, n. 119, il quale, attraverso l’inserimento della lettera g-ter all’articolo 1, comma 213, della legge 244/2007, aveva dato appunto mandato al </w:t>
      </w:r>
      <w:proofErr w:type="spellStart"/>
      <w:r>
        <w:t>Mef</w:t>
      </w:r>
      <w:proofErr w:type="spellEnd"/>
      <w:r>
        <w:t xml:space="preserve"> di definire puntualmente le cause che consentono all’ampia galassia di soggetti ed enti che costituiscono il comparto pubblico di scartare le fatture di acquisto pervenute per il tramite del sistema di interscambio.</w:t>
      </w:r>
    </w:p>
    <w:p w:rsidR="00E91331" w:rsidRDefault="00E91331" w:rsidP="00E91331">
      <w:pPr>
        <w:jc w:val="both"/>
      </w:pPr>
      <w:r>
        <w:t>L’intervento si è reso in primo luogo necessario – anche se sono occorsi più di sei anni dall’avvio della fatturazione elettronica alla PA - in quanto il rigetto da parte del soggetto acquirente o committente rappresenta, da sempre, una delle maggiori criticità dell’intero sistema, attesa la molteplicità delle ragioni che, ad oggi, sono state addotte in concreto dalle varie amministrazioni pubbliche interessate.</w:t>
      </w:r>
    </w:p>
    <w:p w:rsidR="00E91331" w:rsidRDefault="00E91331" w:rsidP="00E91331">
      <w:pPr>
        <w:jc w:val="both"/>
      </w:pPr>
      <w:r>
        <w:t>In aggiunta a questo aspetto, lo scopo dichiarato è stato anche quello di armonizzare il più possibile le regole tecniche del rifiuto di tali documenti con quelle proprie della fatturazione elettronica tra privati, in generale.</w:t>
      </w:r>
    </w:p>
    <w:p w:rsidR="00E91331" w:rsidRPr="00E91331" w:rsidRDefault="00E91331" w:rsidP="00E91331">
      <w:pPr>
        <w:jc w:val="both"/>
        <w:rPr>
          <w:i/>
          <w:u w:val="single"/>
        </w:rPr>
      </w:pPr>
      <w:r w:rsidRPr="00E91331">
        <w:rPr>
          <w:i/>
          <w:u w:val="single"/>
        </w:rPr>
        <w:t>Il rifiuto della fattura a partire dal 6 novembre</w:t>
      </w:r>
    </w:p>
    <w:p w:rsidR="00E91331" w:rsidRDefault="00E91331" w:rsidP="00E91331">
      <w:pPr>
        <w:jc w:val="both"/>
      </w:pPr>
      <w:r>
        <w:t>Come appena detto, il decreto 132/2020 interviene sul testo del DM 3 aprile 2013, n. 55 (regolamento in materia di emissione, trasmissione e ricevimento della fattura elettronica da applicarsi alle amministrazioni pubbliche ai sensi dell’articolo 1, commi da 209 a 213, della legge 24 dicembre 2007, n. 244), attraverso l’inserimento dell’articolo 2 bis, rubricato come “Cause che consentono alle amministrazioni destinatarie di rifiutare le fatture elettroniche”.</w:t>
      </w:r>
    </w:p>
    <w:p w:rsidR="00E91331" w:rsidRDefault="00E91331" w:rsidP="00E91331">
      <w:pPr>
        <w:jc w:val="both"/>
      </w:pPr>
      <w:r>
        <w:t>Il primo comma di tale articolo aggiunto stabilisce che le pubbliche amministrazioni non possono rifiutare le fatture elettroniche al di fuori dei seguenti casi:</w:t>
      </w:r>
    </w:p>
    <w:p w:rsidR="00E91331" w:rsidRDefault="00E91331" w:rsidP="00E91331">
      <w:pPr>
        <w:jc w:val="both"/>
      </w:pPr>
      <w:r>
        <w:t>a) fattura elettronica riferita ad un’operazione che non è stata posta in essere in favore del soggetto destinatario della trasmissione;</w:t>
      </w:r>
    </w:p>
    <w:p w:rsidR="00E91331" w:rsidRDefault="00E91331" w:rsidP="00E91331">
      <w:pPr>
        <w:jc w:val="both"/>
      </w:pPr>
      <w:r>
        <w:t>b) omessa o errata indicazione del Codice Identificativo Gara (CIG) o del Codice Unico di Progetto (CUP), da riportare in fattura ai sensi dell’articolo 25, comma 2, del D.L. 24 aprile 2014, n. 66, convertito con modificazioni dalla legge 23 giugno 2014, n.89;</w:t>
      </w:r>
    </w:p>
    <w:p w:rsidR="00E91331" w:rsidRDefault="00E91331" w:rsidP="00E91331">
      <w:pPr>
        <w:jc w:val="both"/>
      </w:pPr>
      <w:r>
        <w:t xml:space="preserve">c) </w:t>
      </w:r>
      <w:r w:rsidRPr="00E91331">
        <w:rPr>
          <w:i/>
        </w:rPr>
        <w:t xml:space="preserve">(per il solo </w:t>
      </w:r>
      <w:r>
        <w:rPr>
          <w:i/>
        </w:rPr>
        <w:t>comparto</w:t>
      </w:r>
      <w:r w:rsidRPr="00E91331">
        <w:rPr>
          <w:i/>
        </w:rPr>
        <w:t xml:space="preserve"> sanitario)</w:t>
      </w:r>
      <w:r>
        <w:t xml:space="preserve"> omessa o errata indicazione del codice di repertorio di cui al decreto del Ministro della Salute 21 dicembre 2009, da riportare in fattura ai sensi dell’articolo 9-ter, comma 6, del D.L. 19 giugno 2015, n. 78;</w:t>
      </w:r>
    </w:p>
    <w:p w:rsidR="00E91331" w:rsidRDefault="00E91331" w:rsidP="00E91331">
      <w:pPr>
        <w:jc w:val="both"/>
      </w:pPr>
      <w:r>
        <w:t xml:space="preserve">d) </w:t>
      </w:r>
      <w:r w:rsidRPr="00E91331">
        <w:rPr>
          <w:i/>
        </w:rPr>
        <w:t xml:space="preserve">(per il solo </w:t>
      </w:r>
      <w:r>
        <w:rPr>
          <w:i/>
        </w:rPr>
        <w:t>comparto</w:t>
      </w:r>
      <w:r w:rsidRPr="00E91331">
        <w:rPr>
          <w:i/>
        </w:rPr>
        <w:t xml:space="preserve"> sanitario)</w:t>
      </w:r>
      <w:r>
        <w:t xml:space="preserve"> omessa o errata indicazione del codice di autorizzazione all’immissione in commercio (AIC) e del corrispondente quantitativo da riportare in fattura ai sensi del decreto del </w:t>
      </w:r>
      <w:proofErr w:type="spellStart"/>
      <w:r>
        <w:t>Mef</w:t>
      </w:r>
      <w:proofErr w:type="spellEnd"/>
      <w:r>
        <w:t xml:space="preserve">, di concerto con il Ministero della Salute, del 20 dicembre 2017, nonché secondo le modalità indicate nella circolare del </w:t>
      </w:r>
      <w:proofErr w:type="spellStart"/>
      <w:r>
        <w:t>Mef</w:t>
      </w:r>
      <w:proofErr w:type="spellEnd"/>
      <w:r>
        <w:t>, di concerto con il Ministero della Salute, n. 2 del 1° febbraio 2018;</w:t>
      </w:r>
    </w:p>
    <w:p w:rsidR="00E91331" w:rsidRDefault="00E91331" w:rsidP="00E91331">
      <w:pPr>
        <w:jc w:val="both"/>
      </w:pPr>
      <w:r>
        <w:t>e) omessa o errata indicazione del numero e data della Determinazione Dirigenziale d’impegno di spesa per le fatture emesse nei confronti delle Regioni e degli enti locali</w:t>
      </w:r>
    </w:p>
    <w:p w:rsidR="00E91331" w:rsidRDefault="00E91331" w:rsidP="00E91331">
      <w:pPr>
        <w:jc w:val="both"/>
      </w:pPr>
      <w:r>
        <w:t xml:space="preserve">Il successivo secondo comma specifica che le pubbliche amministrazioni non hanno comunque titolo per rifiutare i documenti a loro trasmessi nei casi in cui gli elementi informativi che dovrebbero determinare il </w:t>
      </w:r>
      <w:r>
        <w:lastRenderedPageBreak/>
        <w:t>rigetto possono essere corretti con la procedura della nota di variazione prevista dall’articolo 26 del D.P.R. 633/72 (note di credito a storno).</w:t>
      </w:r>
    </w:p>
    <w:p w:rsidR="00E91331" w:rsidRDefault="00E91331" w:rsidP="00E91331">
      <w:pPr>
        <w:jc w:val="both"/>
      </w:pPr>
      <w:r>
        <w:t>Il terzo ed ultimo comma, infine, dispone che l’avvenuto rifiuto della fattura debba essere comunicato al cedente/prestatore attraverso un documento predisposto in formato Xml - la cui struttura è riportata nelle specifiche tecniche indicate nell’allegato B al regolamento – che deve indicare la causa del rigetto, riferendosi ai casi elencati al primo comma.</w:t>
      </w:r>
    </w:p>
    <w:p w:rsidR="00E91331" w:rsidRPr="00E91331" w:rsidRDefault="00E91331" w:rsidP="00E91331">
      <w:pPr>
        <w:jc w:val="both"/>
        <w:rPr>
          <w:i/>
          <w:u w:val="single"/>
        </w:rPr>
      </w:pPr>
      <w:r w:rsidRPr="00E91331">
        <w:rPr>
          <w:i/>
          <w:u w:val="single"/>
        </w:rPr>
        <w:t>Cosa accade alla fattura PA rifiutata dal Comune</w:t>
      </w:r>
    </w:p>
    <w:p w:rsidR="00E91331" w:rsidRDefault="00E91331" w:rsidP="00E91331">
      <w:pPr>
        <w:jc w:val="both"/>
      </w:pPr>
      <w:r>
        <w:t>In linea di principio, la situazione che si crea nel momento in cui il sistema di interscambio ha regolarmente recapitato la fattura al Comune è la seguente:</w:t>
      </w:r>
    </w:p>
    <w:p w:rsidR="00E91331" w:rsidRDefault="00E91331" w:rsidP="00E91331">
      <w:pPr>
        <w:jc w:val="both"/>
      </w:pPr>
      <w:r>
        <w:t xml:space="preserve">• da un lato vi è il fornitore, per il quale il fatto che la fattura sia stata regolarmente accettata dal </w:t>
      </w:r>
      <w:proofErr w:type="spellStart"/>
      <w:r>
        <w:t>Sdi</w:t>
      </w:r>
      <w:proofErr w:type="spellEnd"/>
      <w:r>
        <w:t xml:space="preserve"> dovrebbe significare, al contempo, che la medesima risulta anche regolarmente emessa (anche se successivamente rifiutata dal destinatario), in analogia con quanto accade nella fatturazione elettronica tra privati</w:t>
      </w:r>
    </w:p>
    <w:p w:rsidR="00E91331" w:rsidRDefault="00E91331" w:rsidP="00E91331">
      <w:pPr>
        <w:jc w:val="both"/>
      </w:pPr>
      <w:r>
        <w:t>• dall’altro vi è l’ente, per il quale la fattura risulta regolarmente ricevuta, sebbene non necessariamente già registrata nella propria contabilità, potendo questo adempimento essere differito sino all’atto dell’eventuale accettazione (in forma espressa, ossia nei quindici giorni successivi alla data della ricevuta di consegna o della notifica della mancata consegna, o in maniera tacita)</w:t>
      </w:r>
    </w:p>
    <w:p w:rsidR="00E91331" w:rsidRDefault="00E91331" w:rsidP="00E91331">
      <w:pPr>
        <w:jc w:val="both"/>
      </w:pPr>
      <w:r>
        <w:t xml:space="preserve">• nel mezzo vi sono lo </w:t>
      </w:r>
      <w:proofErr w:type="spellStart"/>
      <w:r>
        <w:t>Sdi</w:t>
      </w:r>
      <w:proofErr w:type="spellEnd"/>
      <w:r>
        <w:t xml:space="preserve"> e la PCC, nei cui data base risultano già caricate le informazioni contenute nella fattura sotto “osservazione” dell’ente </w:t>
      </w:r>
    </w:p>
    <w:p w:rsidR="00E91331" w:rsidRDefault="00E91331" w:rsidP="00E91331">
      <w:pPr>
        <w:jc w:val="both"/>
      </w:pPr>
      <w:r>
        <w:t xml:space="preserve">A questo punto bisogna considerare che l’esperienza ha dimostrato che l’eventuale rifiuto – da adesso in poi limitato a ben individuate casistiche – viaggiante sempre nel circuito dello </w:t>
      </w:r>
      <w:proofErr w:type="spellStart"/>
      <w:r>
        <w:t>Sdi</w:t>
      </w:r>
      <w:proofErr w:type="spellEnd"/>
      <w:r>
        <w:t xml:space="preserve"> comporta l’automatico “scarico”, dalla memoria di quest’ultimo, nonché da quella della piattaforma di certificazione, dei dati della fattura contestata.</w:t>
      </w:r>
    </w:p>
    <w:p w:rsidR="00E91331" w:rsidRDefault="00E91331" w:rsidP="00E91331">
      <w:pPr>
        <w:jc w:val="both"/>
      </w:pPr>
      <w:r>
        <w:t xml:space="preserve">Da qui la necessità, per il fornitore, di </w:t>
      </w:r>
      <w:proofErr w:type="spellStart"/>
      <w:r>
        <w:t>reinviare</w:t>
      </w:r>
      <w:proofErr w:type="spellEnd"/>
      <w:r>
        <w:t xml:space="preserve"> la fattura (molto spesso recante lo stesso numero e data di quella rifiutata), senza procedere all’emissione di una nota di variazione (ovvero emettendone una “ad uso interno”, qualora la fattura scartata dal destinatario risulti già annotata sul registro ex articolo 23).</w:t>
      </w:r>
    </w:p>
    <w:p w:rsidR="00E91331" w:rsidRDefault="00E91331" w:rsidP="00E91331">
      <w:pPr>
        <w:jc w:val="both"/>
      </w:pPr>
      <w:r>
        <w:t>La qual cosa si traduce in un’anomala prevalenza degli aspetti tecnici, rispetto alla norma fiscale pertinente, ossia l’articolo 21 del D.P.R. 633/72.</w:t>
      </w:r>
    </w:p>
    <w:p w:rsidR="00E91331" w:rsidRDefault="00E91331" w:rsidP="00E91331">
      <w:pPr>
        <w:jc w:val="both"/>
      </w:pPr>
      <w:r>
        <w:t>Anomalia per cui la comunicazione dell’eventuale accettazione (esplicita o per effetto dell’inerzia reiterata oltre il quindicesimo giorno successivo al ricevimento) da parte dell’organo di PA è elevata a rango sostanziale di condizione “sospensiva” dell’esistenza giuridica della fattura, nonostante il fatto che quest’ultima, di per sé, dovrebbe invece considerarsi emessa in quanto regolarmente trasmessa.</w:t>
      </w:r>
    </w:p>
    <w:p w:rsidR="00E91331" w:rsidRDefault="00E91331" w:rsidP="00E91331">
      <w:pPr>
        <w:jc w:val="both"/>
      </w:pPr>
      <w:r>
        <w:t xml:space="preserve">Secondo questo schema, dunque, la mancata verifica di tale condizione – che si palesa, appunto, con il ricevimento del messaggio di avvenuto rigetto da parte dell’amministrazione cliente – determina l’inesistenza ex </w:t>
      </w:r>
      <w:proofErr w:type="spellStart"/>
      <w:r>
        <w:t>tunc</w:t>
      </w:r>
      <w:proofErr w:type="spellEnd"/>
      <w:r>
        <w:t xml:space="preserve"> della fattura, la quale viene quindi posta nel nulla per effetto del diniego espresso dalla controparte pubblica.</w:t>
      </w:r>
    </w:p>
    <w:p w:rsidR="00E91331" w:rsidRPr="00E91331" w:rsidRDefault="00E91331" w:rsidP="00E91331">
      <w:pPr>
        <w:jc w:val="both"/>
        <w:rPr>
          <w:i/>
          <w:u w:val="single"/>
        </w:rPr>
      </w:pPr>
      <w:r w:rsidRPr="00E91331">
        <w:rPr>
          <w:i/>
          <w:u w:val="single"/>
        </w:rPr>
        <w:t>Breve commento alla novità</w:t>
      </w:r>
    </w:p>
    <w:p w:rsidR="00E91331" w:rsidRDefault="00E91331" w:rsidP="00E91331">
      <w:pPr>
        <w:jc w:val="both"/>
      </w:pPr>
      <w:r>
        <w:t xml:space="preserve">Il regolamento ha confermato la correttezza del rifiuto opposto, sino ad oggi, dai Comuni di fronte all’assenza o all’erroneità del </w:t>
      </w:r>
      <w:proofErr w:type="spellStart"/>
      <w:r>
        <w:t>Cig</w:t>
      </w:r>
      <w:proofErr w:type="spellEnd"/>
      <w:r>
        <w:t xml:space="preserve"> e/o del Cup, aggiungendovi anche l’ipotesi - diversa dalle precedenti, per via dell’assenza di una chiara indicazione di inserimento obbligatorio - delle medesime mancanze o lacune riferite alla determina di spesa.</w:t>
      </w:r>
    </w:p>
    <w:p w:rsidR="00E91331" w:rsidRDefault="00E91331" w:rsidP="00E91331">
      <w:pPr>
        <w:jc w:val="both"/>
      </w:pPr>
      <w:r>
        <w:lastRenderedPageBreak/>
        <w:t>Per contro, lo stesso provvedimento cancella, di fatto, ogni altra causa possibile di rigetto formulata in questi ultimi cinque anni.</w:t>
      </w:r>
    </w:p>
    <w:p w:rsidR="00E91331" w:rsidRDefault="00E91331" w:rsidP="00E91331">
      <w:pPr>
        <w:jc w:val="both"/>
      </w:pPr>
      <w:r>
        <w:t xml:space="preserve">Anzi, da questo punto di vista, il </w:t>
      </w:r>
      <w:proofErr w:type="spellStart"/>
      <w:r>
        <w:t>Mef</w:t>
      </w:r>
      <w:proofErr w:type="spellEnd"/>
      <w:r>
        <w:t xml:space="preserve"> ha ritenuto opportuno rimarcare la “nuova” situazione. Infatti, nonostante la formulazione del primo comma dell’articolo 2-bis del DM 3 aprile 2013, n. 55, definisca chiaramente, se letta in senso inverso, un obbligo generalizzato, in capo agli organi di PA, di accettare tutte le fatture “filtrate” dal </w:t>
      </w:r>
      <w:proofErr w:type="spellStart"/>
      <w:r>
        <w:t>Sdi</w:t>
      </w:r>
      <w:proofErr w:type="spellEnd"/>
      <w:r>
        <w:t>, salvo quelle che ricadono nei casi ivi elencati tassativamente, il Ministero ha ritenuto di proseguire, nel successivo secondo comma, specificando che le pubbliche amministrazioni non possono rifiutare la fattura quando gli elementi informativi risultano correggibili attraverso le procedure di cui all’articolo 26 del D.P.R. 633/72</w:t>
      </w:r>
      <w:r w:rsidR="00EF169D">
        <w:t xml:space="preserve"> (note di credito a storno)</w:t>
      </w:r>
      <w:r>
        <w:t>.</w:t>
      </w:r>
    </w:p>
    <w:p w:rsidR="00E91331" w:rsidRDefault="00E91331" w:rsidP="00E91331">
      <w:pPr>
        <w:jc w:val="both"/>
      </w:pPr>
      <w:r>
        <w:t>Un’ultima possibile annotazione riguarda il presunto riconoscimento di debito, che taluni temevano essere integrato dalla mera accettazione della fattura elettronica, in forma sia espressa che tacita (per inutile decorso del termine quindicinale).</w:t>
      </w:r>
    </w:p>
    <w:p w:rsidR="00E91331" w:rsidRDefault="00E91331" w:rsidP="00E91331">
      <w:pPr>
        <w:jc w:val="both"/>
      </w:pPr>
      <w:r>
        <w:t>Tale tesi, infatti, decade di fronte alla constatazione dell’obbligo di accogliere una fattura errata (al di fuori dei casi tassativamente previsti nel primo comma) e di procedere alla rettifica dei relativi contenuti attraverso una nota di variazione, essendo peraltro ragionevole ritenere che ciò valga anche per il passato.</w:t>
      </w:r>
    </w:p>
    <w:sectPr w:rsidR="00E913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31"/>
    <w:rsid w:val="00231FEA"/>
    <w:rsid w:val="00380B6C"/>
    <w:rsid w:val="00E91331"/>
    <w:rsid w:val="00EF1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DD5DE-8C1E-40CC-AFD2-EB0613D0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Massimo Di Monte</cp:lastModifiedBy>
  <cp:revision>2</cp:revision>
  <dcterms:created xsi:type="dcterms:W3CDTF">2021-04-22T08:38:00Z</dcterms:created>
  <dcterms:modified xsi:type="dcterms:W3CDTF">2021-04-22T08:38:00Z</dcterms:modified>
</cp:coreProperties>
</file>