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bookmarkStart w:id="0" w:name="_GoBack"/>
      <w:bookmarkEnd w:id="0"/>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Pr>
          <w:b/>
          <w:sz w:val="24"/>
        </w:rPr>
        <w:t xml:space="preserve">    </w:t>
      </w:r>
      <w:r>
        <w:rPr>
          <w:b/>
          <w:sz w:val="24"/>
        </w:rPr>
        <w:tab/>
      </w:r>
      <w:r>
        <w:rPr>
          <w:b/>
          <w:sz w:val="22"/>
        </w:rPr>
        <w:t xml:space="preserve">      </w:t>
      </w:r>
    </w:p>
    <w:p w:rsidR="00055300" w:rsidRDefault="00055300">
      <w:pPr>
        <w:pBdr>
          <w:top w:val="none" w:sz="0" w:space="0" w:color="auto"/>
          <w:left w:val="none" w:sz="0" w:space="0" w:color="auto"/>
          <w:bottom w:val="none" w:sz="0" w:space="0" w:color="auto"/>
          <w:right w:val="none" w:sz="0" w:space="0" w:color="auto"/>
        </w:pBdr>
        <w:spacing w:after="0" w:line="259" w:lineRule="auto"/>
        <w:ind w:left="0" w:firstLine="0"/>
        <w:jc w:val="left"/>
      </w:pP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b/>
          <w:sz w:val="24"/>
        </w:rPr>
        <w:t xml:space="preserve"> </w:t>
      </w:r>
    </w:p>
    <w:p w:rsidR="00055300" w:rsidRDefault="00231ABD">
      <w:pPr>
        <w:pBdr>
          <w:top w:val="none" w:sz="0" w:space="0" w:color="auto"/>
          <w:left w:val="none" w:sz="0" w:space="0" w:color="auto"/>
          <w:bottom w:val="none" w:sz="0" w:space="0" w:color="auto"/>
          <w:right w:val="none" w:sz="0" w:space="0" w:color="auto"/>
        </w:pBdr>
        <w:spacing w:after="0" w:line="240" w:lineRule="auto"/>
        <w:ind w:left="1418" w:hanging="1135"/>
        <w:jc w:val="left"/>
      </w:pPr>
      <w:r>
        <w:rPr>
          <w:b/>
          <w:sz w:val="24"/>
        </w:rPr>
        <w:t xml:space="preserve">OGGETTO: Dichiarazione annuale sulla insussistenza di cause di incompatibilità di cui all’art. 20 del </w:t>
      </w:r>
      <w:proofErr w:type="spellStart"/>
      <w:r>
        <w:rPr>
          <w:b/>
          <w:sz w:val="24"/>
        </w:rPr>
        <w:t>D.Lgs.</w:t>
      </w:r>
      <w:proofErr w:type="spellEnd"/>
      <w:r>
        <w:rPr>
          <w:b/>
          <w:sz w:val="24"/>
        </w:rPr>
        <w:t xml:space="preserve"> n.39/2013.  Anno 20</w:t>
      </w:r>
      <w:r w:rsidR="00453D43">
        <w:rPr>
          <w:b/>
          <w:sz w:val="24"/>
        </w:rPr>
        <w:t>21</w:t>
      </w:r>
      <w:r>
        <w:rPr>
          <w:b/>
          <w:sz w:val="24"/>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48" w:lineRule="auto"/>
        <w:ind w:left="370" w:hanging="10"/>
      </w:pPr>
      <w:r>
        <w:rPr>
          <w:sz w:val="22"/>
        </w:rPr>
        <w:t>Io sottoscritt</w:t>
      </w:r>
      <w:r w:rsidR="00453D43">
        <w:rPr>
          <w:sz w:val="22"/>
        </w:rPr>
        <w:t xml:space="preserve">a </w:t>
      </w:r>
      <w:r w:rsidR="005B609C">
        <w:rPr>
          <w:sz w:val="22"/>
        </w:rPr>
        <w:t>Michele Cassano</w:t>
      </w:r>
      <w:r>
        <w:rPr>
          <w:sz w:val="22"/>
        </w:rPr>
        <w:t>, nat</w:t>
      </w:r>
      <w:r w:rsidR="005B609C">
        <w:rPr>
          <w:sz w:val="22"/>
        </w:rPr>
        <w:t>o</w:t>
      </w:r>
      <w:r>
        <w:rPr>
          <w:sz w:val="22"/>
        </w:rPr>
        <w:t xml:space="preserve"> il </w:t>
      </w:r>
      <w:r w:rsidR="005B609C">
        <w:rPr>
          <w:sz w:val="22"/>
        </w:rPr>
        <w:t>20</w:t>
      </w:r>
      <w:r>
        <w:rPr>
          <w:sz w:val="22"/>
        </w:rPr>
        <w:t>/</w:t>
      </w:r>
      <w:r w:rsidR="005B609C">
        <w:rPr>
          <w:sz w:val="22"/>
        </w:rPr>
        <w:t>05</w:t>
      </w:r>
      <w:r>
        <w:rPr>
          <w:sz w:val="22"/>
        </w:rPr>
        <w:t>/19</w:t>
      </w:r>
      <w:r w:rsidR="00453D43">
        <w:rPr>
          <w:sz w:val="22"/>
        </w:rPr>
        <w:t>69</w:t>
      </w:r>
      <w:r>
        <w:rPr>
          <w:sz w:val="22"/>
        </w:rPr>
        <w:t xml:space="preserve"> a </w:t>
      </w:r>
      <w:r w:rsidR="005B609C">
        <w:rPr>
          <w:sz w:val="22"/>
        </w:rPr>
        <w:t>Torino</w:t>
      </w:r>
      <w:r>
        <w:rPr>
          <w:sz w:val="22"/>
        </w:rPr>
        <w:t xml:space="preserve">, </w:t>
      </w:r>
      <w:r w:rsidR="005B609C">
        <w:rPr>
          <w:sz w:val="22"/>
        </w:rPr>
        <w:t xml:space="preserve">DIRIGENTE/COMANDANTE CORPO DI POLIZIA LOCALE </w:t>
      </w:r>
      <w:r w:rsidR="00453D43">
        <w:rPr>
          <w:sz w:val="22"/>
        </w:rPr>
        <w:t>DEL COMUNE DI MONOPOLI,</w:t>
      </w:r>
      <w:r>
        <w:rPr>
          <w:sz w:val="22"/>
        </w:rPr>
        <w:t xml:space="preserve"> in possesso della qualifica di dirigente/titolare di un incarico dirigenziale, consapevole delle sanzioni previste dall’art. 76 del D.P.R. n.445/2000 per le ipotesi di falsità in atti e dichiarazioni mendaci nonché delle conseguenze di cui all'art. 75, comma 1, del medesimo D.P.R. e di cui all’art. 20, comma 5, del </w:t>
      </w:r>
      <w:proofErr w:type="spellStart"/>
      <w:r>
        <w:rPr>
          <w:sz w:val="22"/>
        </w:rPr>
        <w:t>D.Lgs.</w:t>
      </w:r>
      <w:proofErr w:type="spellEnd"/>
      <w:r>
        <w:rPr>
          <w:sz w:val="22"/>
        </w:rPr>
        <w:t xml:space="preserve"> 39/2013, ai fini di quanto previsto dall’art. 20, comma 2, del </w:t>
      </w:r>
      <w:proofErr w:type="spellStart"/>
      <w:r>
        <w:rPr>
          <w:sz w:val="22"/>
        </w:rPr>
        <w:t>D.Lgs.</w:t>
      </w:r>
      <w:proofErr w:type="spellEnd"/>
      <w:r>
        <w:rPr>
          <w:sz w:val="22"/>
        </w:rPr>
        <w:t xml:space="preserve"> 39/2013</w:t>
      </w:r>
      <w:r>
        <w:rPr>
          <w:sz w:val="20"/>
        </w:rPr>
        <w:t xml:space="preserve"> </w:t>
      </w:r>
      <w:r>
        <w:rPr>
          <w:b/>
          <w:sz w:val="20"/>
        </w:rPr>
        <w:t>(1)</w:t>
      </w:r>
      <w:r>
        <w:rPr>
          <w:sz w:val="22"/>
        </w:rPr>
        <w:t xml:space="preserve"> recante “</w:t>
      </w:r>
      <w:r>
        <w:rPr>
          <w:i/>
          <w:sz w:val="22"/>
        </w:rPr>
        <w:t xml:space="preserve">Disposizioni in materia di </w:t>
      </w:r>
      <w:proofErr w:type="spellStart"/>
      <w:r>
        <w:rPr>
          <w:i/>
          <w:sz w:val="22"/>
        </w:rPr>
        <w:t>inconferibilità</w:t>
      </w:r>
      <w:proofErr w:type="spellEnd"/>
      <w:r>
        <w:rPr>
          <w:i/>
          <w:sz w:val="22"/>
        </w:rPr>
        <w:t xml:space="preserve"> e incompatibilità di incarichi presso le pubbliche amministrazioni e presso gli enti privati in controllo pubblico, a norma dell’articolo 1, commi 49 e 50, della Legge 6 novembre 2012, n.190</w:t>
      </w:r>
      <w:r>
        <w:rPr>
          <w:sz w:val="22"/>
        </w:rPr>
        <w:t xml:space="preserve">”, sotto la mia responsabilità, </w:t>
      </w:r>
    </w:p>
    <w:p w:rsidR="00055300" w:rsidRDefault="00231ABD">
      <w:pPr>
        <w:pBdr>
          <w:top w:val="none" w:sz="0" w:space="0" w:color="auto"/>
          <w:left w:val="none" w:sz="0" w:space="0" w:color="auto"/>
          <w:bottom w:val="none" w:sz="0" w:space="0" w:color="auto"/>
          <w:right w:val="none" w:sz="0" w:space="0" w:color="auto"/>
        </w:pBdr>
        <w:spacing w:after="0" w:line="259" w:lineRule="auto"/>
        <w:ind w:left="360" w:firstLine="0"/>
        <w:jc w:val="left"/>
      </w:pPr>
      <w:r>
        <w:rPr>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10" w:right="1" w:hanging="10"/>
        <w:jc w:val="center"/>
      </w:pPr>
      <w:r>
        <w:rPr>
          <w:b/>
          <w:sz w:val="22"/>
        </w:rPr>
        <w:t xml:space="preserve">DICHIARO </w:t>
      </w:r>
    </w:p>
    <w:p w:rsidR="00055300" w:rsidRDefault="00231ABD">
      <w:pPr>
        <w:pBdr>
          <w:top w:val="none" w:sz="0" w:space="0" w:color="auto"/>
          <w:left w:val="none" w:sz="0" w:space="0" w:color="auto"/>
          <w:bottom w:val="none" w:sz="0" w:space="0" w:color="auto"/>
          <w:right w:val="none" w:sz="0" w:space="0" w:color="auto"/>
        </w:pBdr>
        <w:spacing w:after="1" w:line="241" w:lineRule="auto"/>
        <w:ind w:left="703" w:hanging="10"/>
        <w:jc w:val="left"/>
      </w:pPr>
      <w:r>
        <w:rPr>
          <w:b/>
          <w:sz w:val="22"/>
        </w:rPr>
        <w:t>di non trovarmi e di non essermi trovata nell’anno 202</w:t>
      </w:r>
      <w:r w:rsidR="005B609C">
        <w:rPr>
          <w:b/>
          <w:sz w:val="22"/>
        </w:rPr>
        <w:t>0</w:t>
      </w:r>
      <w:r>
        <w:rPr>
          <w:b/>
          <w:sz w:val="22"/>
        </w:rPr>
        <w:t xml:space="preserve"> in alcuna delle cause di incompatibilità previste dall’art. 9, comma 1, del </w:t>
      </w:r>
      <w:proofErr w:type="spellStart"/>
      <w:r>
        <w:rPr>
          <w:b/>
          <w:sz w:val="22"/>
        </w:rPr>
        <w:t>D.Lgs.</w:t>
      </w:r>
      <w:proofErr w:type="spellEnd"/>
      <w:r>
        <w:rPr>
          <w:b/>
          <w:sz w:val="22"/>
        </w:rPr>
        <w:t xml:space="preserve"> n.39/2013 </w:t>
      </w:r>
      <w:r>
        <w:rPr>
          <w:b/>
        </w:rPr>
        <w:t>(2)</w:t>
      </w:r>
      <w:r>
        <w:rPr>
          <w:b/>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283" w:firstLine="0"/>
        <w:jc w:val="left"/>
      </w:pPr>
      <w:r>
        <w:rPr>
          <w:b/>
          <w:sz w:val="22"/>
        </w:rPr>
        <w:t xml:space="preserve"> </w:t>
      </w:r>
    </w:p>
    <w:p w:rsidR="00055300" w:rsidRDefault="00231ABD">
      <w:pPr>
        <w:pBdr>
          <w:top w:val="none" w:sz="0" w:space="0" w:color="auto"/>
          <w:left w:val="none" w:sz="0" w:space="0" w:color="auto"/>
          <w:bottom w:val="none" w:sz="0" w:space="0" w:color="auto"/>
          <w:right w:val="none" w:sz="0" w:space="0" w:color="auto"/>
        </w:pBdr>
        <w:spacing w:after="1" w:line="241" w:lineRule="auto"/>
        <w:ind w:left="703" w:hanging="10"/>
        <w:jc w:val="left"/>
      </w:pPr>
      <w:r>
        <w:rPr>
          <w:b/>
          <w:sz w:val="22"/>
        </w:rPr>
        <w:t>di non trovarmi e di non essermi trovata nell’anno 202</w:t>
      </w:r>
      <w:r w:rsidR="005B609C">
        <w:rPr>
          <w:b/>
          <w:sz w:val="22"/>
        </w:rPr>
        <w:t>0</w:t>
      </w:r>
      <w:r>
        <w:rPr>
          <w:b/>
          <w:sz w:val="22"/>
        </w:rPr>
        <w:t xml:space="preserve"> in alcuna delle cause di incompatibilità previste dall’art. 9, comma 2, del </w:t>
      </w:r>
      <w:proofErr w:type="spellStart"/>
      <w:r>
        <w:rPr>
          <w:b/>
          <w:sz w:val="22"/>
        </w:rPr>
        <w:t>D.Lgs.</w:t>
      </w:r>
      <w:proofErr w:type="spellEnd"/>
      <w:r>
        <w:rPr>
          <w:b/>
          <w:sz w:val="22"/>
        </w:rPr>
        <w:t xml:space="preserve"> n.39/2013 </w:t>
      </w:r>
      <w:r>
        <w:rPr>
          <w:b/>
        </w:rPr>
        <w:t>(2)</w:t>
      </w:r>
      <w:r>
        <w:rPr>
          <w:b/>
          <w:sz w:val="22"/>
        </w:rPr>
        <w:t xml:space="preserve"> ; </w:t>
      </w:r>
    </w:p>
    <w:p w:rsidR="00055300" w:rsidRDefault="00231ABD">
      <w:pPr>
        <w:pBdr>
          <w:top w:val="none" w:sz="0" w:space="0" w:color="auto"/>
          <w:left w:val="none" w:sz="0" w:space="0" w:color="auto"/>
          <w:bottom w:val="none" w:sz="0" w:space="0" w:color="auto"/>
          <w:right w:val="none" w:sz="0" w:space="0" w:color="auto"/>
        </w:pBdr>
        <w:spacing w:after="0" w:line="259" w:lineRule="auto"/>
        <w:ind w:left="283" w:firstLine="0"/>
        <w:jc w:val="left"/>
      </w:pPr>
      <w:r>
        <w:rPr>
          <w:b/>
          <w:sz w:val="22"/>
        </w:rPr>
        <w:t xml:space="preserve"> </w:t>
      </w:r>
    </w:p>
    <w:p w:rsidR="00055300" w:rsidRDefault="00231ABD">
      <w:pPr>
        <w:pBdr>
          <w:top w:val="none" w:sz="0" w:space="0" w:color="auto"/>
          <w:left w:val="none" w:sz="0" w:space="0" w:color="auto"/>
          <w:bottom w:val="none" w:sz="0" w:space="0" w:color="auto"/>
          <w:right w:val="none" w:sz="0" w:space="0" w:color="auto"/>
        </w:pBdr>
        <w:spacing w:after="1" w:line="241" w:lineRule="auto"/>
        <w:ind w:left="703" w:hanging="10"/>
        <w:jc w:val="left"/>
      </w:pPr>
      <w:r>
        <w:rPr>
          <w:b/>
          <w:sz w:val="22"/>
        </w:rPr>
        <w:t xml:space="preserve">di non trovarmi e di non essermi trovata nell’anno </w:t>
      </w:r>
      <w:proofErr w:type="gramStart"/>
      <w:r>
        <w:rPr>
          <w:b/>
          <w:sz w:val="22"/>
        </w:rPr>
        <w:t>2020  in</w:t>
      </w:r>
      <w:proofErr w:type="gramEnd"/>
      <w:r>
        <w:rPr>
          <w:b/>
          <w:sz w:val="22"/>
        </w:rPr>
        <w:t xml:space="preserve"> alcuna delle cause di incompatibilità previste dall’art. 12, commi 1 e 4, del </w:t>
      </w:r>
      <w:proofErr w:type="spellStart"/>
      <w:r>
        <w:rPr>
          <w:b/>
          <w:sz w:val="22"/>
        </w:rPr>
        <w:t>D.Lgs.</w:t>
      </w:r>
      <w:proofErr w:type="spellEnd"/>
      <w:r>
        <w:rPr>
          <w:b/>
          <w:sz w:val="22"/>
        </w:rPr>
        <w:t xml:space="preserve"> n.39/2013 </w:t>
      </w:r>
      <w:r>
        <w:rPr>
          <w:b/>
        </w:rPr>
        <w:t>(2)</w:t>
      </w:r>
      <w:r>
        <w:rPr>
          <w:b/>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283" w:firstLine="0"/>
        <w:jc w:val="left"/>
      </w:pPr>
      <w:r>
        <w:rPr>
          <w:b/>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10" w:right="4" w:hanging="10"/>
        <w:jc w:val="center"/>
      </w:pPr>
      <w:r>
        <w:rPr>
          <w:b/>
          <w:sz w:val="22"/>
        </w:rPr>
        <w:t xml:space="preserve">impegnandomi </w:t>
      </w:r>
    </w:p>
    <w:p w:rsidR="00055300" w:rsidRDefault="00231ABD">
      <w:pPr>
        <w:pBdr>
          <w:top w:val="none" w:sz="0" w:space="0" w:color="auto"/>
          <w:left w:val="none" w:sz="0" w:space="0" w:color="auto"/>
          <w:bottom w:val="none" w:sz="0" w:space="0" w:color="auto"/>
          <w:right w:val="none" w:sz="0" w:space="0" w:color="auto"/>
        </w:pBdr>
        <w:spacing w:after="0" w:line="248" w:lineRule="auto"/>
        <w:ind w:left="278" w:hanging="10"/>
      </w:pPr>
      <w:r>
        <w:rPr>
          <w:sz w:val="22"/>
        </w:rPr>
        <w:t xml:space="preserve">a comunicare tempestivamente le eventuali situazioni che comportassero la modifica del contenuto della presente dichiarazione.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b/>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48" w:lineRule="auto"/>
        <w:ind w:left="278" w:hanging="10"/>
      </w:pPr>
      <w:r>
        <w:rPr>
          <w:sz w:val="22"/>
        </w:rPr>
        <w:t xml:space="preserve">Dichiaro, inoltre, di essere informato/a, giusta informativa di seguito riportata </w:t>
      </w:r>
      <w:r>
        <w:rPr>
          <w:b/>
          <w:sz w:val="20"/>
        </w:rPr>
        <w:t>(3)</w:t>
      </w:r>
      <w:r>
        <w:rPr>
          <w:sz w:val="20"/>
        </w:rPr>
        <w:t>,</w:t>
      </w:r>
      <w:r>
        <w:rPr>
          <w:sz w:val="22"/>
        </w:rPr>
        <w:t xml:space="preserve"> circa il trattamento dei dati raccolti, ed in particolare, che tali dati saranno trattati anche con strumenti informatici esclusivamente per le finalità per le quali la presente dichiarazione viene resa. </w:t>
      </w:r>
    </w:p>
    <w:p w:rsidR="00055300" w:rsidRDefault="00231ABD">
      <w:pPr>
        <w:pBdr>
          <w:top w:val="none" w:sz="0" w:space="0" w:color="auto"/>
          <w:left w:val="none" w:sz="0" w:space="0" w:color="auto"/>
          <w:bottom w:val="none" w:sz="0" w:space="0" w:color="auto"/>
          <w:right w:val="none" w:sz="0" w:space="0" w:color="auto"/>
        </w:pBdr>
        <w:spacing w:after="0" w:line="259" w:lineRule="auto"/>
        <w:ind w:left="283" w:firstLine="0"/>
        <w:jc w:val="left"/>
      </w:pPr>
      <w:r>
        <w:rPr>
          <w:sz w:val="22"/>
        </w:rPr>
        <w:t xml:space="preserve"> </w:t>
      </w:r>
    </w:p>
    <w:p w:rsidR="00055300" w:rsidRDefault="00453D43">
      <w:pPr>
        <w:pBdr>
          <w:top w:val="none" w:sz="0" w:space="0" w:color="auto"/>
          <w:left w:val="none" w:sz="0" w:space="0" w:color="auto"/>
          <w:bottom w:val="none" w:sz="0" w:space="0" w:color="auto"/>
          <w:right w:val="none" w:sz="0" w:space="0" w:color="auto"/>
        </w:pBdr>
        <w:spacing w:after="0" w:line="248" w:lineRule="auto"/>
        <w:ind w:left="278" w:hanging="10"/>
      </w:pPr>
      <w:r>
        <w:rPr>
          <w:sz w:val="22"/>
        </w:rPr>
        <w:t>MONOPOLI, 7 maggio 2021</w:t>
      </w:r>
    </w:p>
    <w:p w:rsidR="00055300" w:rsidRDefault="00231ABD">
      <w:pPr>
        <w:pBdr>
          <w:top w:val="none" w:sz="0" w:space="0" w:color="auto"/>
          <w:left w:val="none" w:sz="0" w:space="0" w:color="auto"/>
          <w:bottom w:val="none" w:sz="0" w:space="0" w:color="auto"/>
          <w:right w:val="none" w:sz="0" w:space="0" w:color="auto"/>
        </w:pBdr>
        <w:tabs>
          <w:tab w:val="center" w:pos="708"/>
          <w:tab w:val="center" w:pos="1416"/>
          <w:tab w:val="center" w:pos="2124"/>
          <w:tab w:val="center" w:pos="2832"/>
          <w:tab w:val="center" w:pos="3540"/>
          <w:tab w:val="center" w:pos="4248"/>
          <w:tab w:val="center" w:pos="4956"/>
          <w:tab w:val="center" w:pos="5664"/>
          <w:tab w:val="center" w:pos="6372"/>
          <w:tab w:val="center" w:pos="7080"/>
          <w:tab w:val="center" w:pos="8524"/>
        </w:tabs>
        <w:spacing w:after="0" w:line="248"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Firma digitale </w:t>
      </w:r>
      <w:r>
        <w:rPr>
          <w:b/>
        </w:rPr>
        <w:t>(4)</w:t>
      </w:r>
      <w:r>
        <w:rPr>
          <w:sz w:val="22"/>
        </w:rPr>
        <w:t xml:space="preserve">  </w:t>
      </w:r>
    </w:p>
    <w:p w:rsidR="00055300" w:rsidRDefault="00231ABD">
      <w:pPr>
        <w:pBdr>
          <w:top w:val="none" w:sz="0" w:space="0" w:color="auto"/>
          <w:left w:val="none" w:sz="0" w:space="0" w:color="auto"/>
          <w:bottom w:val="none" w:sz="0" w:space="0" w:color="auto"/>
          <w:right w:val="none" w:sz="0" w:space="0" w:color="auto"/>
        </w:pBdr>
        <w:tabs>
          <w:tab w:val="center" w:pos="708"/>
          <w:tab w:val="center" w:pos="1416"/>
          <w:tab w:val="center" w:pos="2124"/>
          <w:tab w:val="center" w:pos="2832"/>
          <w:tab w:val="center" w:pos="3540"/>
          <w:tab w:val="center" w:pos="4248"/>
          <w:tab w:val="center" w:pos="4956"/>
          <w:tab w:val="center" w:pos="5664"/>
          <w:tab w:val="center" w:pos="6372"/>
          <w:tab w:val="center" w:pos="8266"/>
        </w:tabs>
        <w:spacing w:after="0" w:line="248"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sidR="005B609C">
        <w:rPr>
          <w:sz w:val="22"/>
        </w:rPr>
        <w:t>MICHELE CASSANO</w:t>
      </w:r>
      <w:r>
        <w:rPr>
          <w:sz w:val="22"/>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55300" w:rsidRDefault="00231ABD">
      <w:pPr>
        <w:ind w:left="-15" w:firstLine="0"/>
        <w:jc w:val="left"/>
      </w:pPr>
      <w:r>
        <w:rPr>
          <w:b/>
        </w:rPr>
        <w:t>(1)</w:t>
      </w:r>
      <w:r>
        <w:t xml:space="preserve"> </w:t>
      </w:r>
      <w:r>
        <w:rPr>
          <w:b/>
          <w:sz w:val="20"/>
        </w:rPr>
        <w:t xml:space="preserve">Art. </w:t>
      </w:r>
      <w:proofErr w:type="gramStart"/>
      <w:r>
        <w:rPr>
          <w:b/>
          <w:sz w:val="20"/>
        </w:rPr>
        <w:t>20</w:t>
      </w:r>
      <w:r>
        <w:rPr>
          <w:sz w:val="20"/>
        </w:rPr>
        <w:t xml:space="preserve">  </w:t>
      </w:r>
      <w:r>
        <w:rPr>
          <w:i/>
          <w:sz w:val="20"/>
        </w:rPr>
        <w:t>Dichiarazione</w:t>
      </w:r>
      <w:proofErr w:type="gramEnd"/>
      <w:r>
        <w:rPr>
          <w:i/>
          <w:sz w:val="20"/>
        </w:rPr>
        <w:t xml:space="preserve"> sulla insussistenza di cause di </w:t>
      </w:r>
      <w:proofErr w:type="spellStart"/>
      <w:r>
        <w:rPr>
          <w:i/>
          <w:sz w:val="20"/>
        </w:rPr>
        <w:t>inconferibilità</w:t>
      </w:r>
      <w:proofErr w:type="spellEnd"/>
      <w:r>
        <w:rPr>
          <w:i/>
          <w:sz w:val="20"/>
        </w:rPr>
        <w:t xml:space="preserve"> o incompatibilità </w:t>
      </w:r>
      <w:r>
        <w:rPr>
          <w:sz w:val="20"/>
        </w:rPr>
        <w:t xml:space="preserve"> </w:t>
      </w:r>
    </w:p>
    <w:p w:rsidR="00055300" w:rsidRDefault="00231ABD">
      <w:pPr>
        <w:spacing w:after="0" w:line="259" w:lineRule="auto"/>
        <w:ind w:left="-5" w:hanging="10"/>
        <w:jc w:val="center"/>
      </w:pPr>
      <w:proofErr w:type="gramStart"/>
      <w:r>
        <w:rPr>
          <w:i/>
        </w:rPr>
        <w:t>….…</w:t>
      </w:r>
      <w:proofErr w:type="gramEnd"/>
      <w:r>
        <w:rPr>
          <w:i/>
        </w:rPr>
        <w:t xml:space="preserve">.omissis……………… </w:t>
      </w:r>
    </w:p>
    <w:p w:rsidR="00055300" w:rsidRDefault="00231ABD">
      <w:pPr>
        <w:numPr>
          <w:ilvl w:val="0"/>
          <w:numId w:val="1"/>
        </w:numPr>
        <w:ind w:left="266" w:hanging="281"/>
      </w:pPr>
      <w:r>
        <w:t xml:space="preserve">Nel corso dell'incarico l'interessato presenta annualmente una dichiarazione sulla insussistenza di una delle cause </w:t>
      </w:r>
      <w:proofErr w:type="gramStart"/>
      <w:r>
        <w:t>di  incompatibilità</w:t>
      </w:r>
      <w:proofErr w:type="gramEnd"/>
      <w:r>
        <w:t xml:space="preserve"> di cui al presente decreto. </w:t>
      </w:r>
    </w:p>
    <w:p w:rsidR="00055300" w:rsidRDefault="00231ABD">
      <w:pPr>
        <w:numPr>
          <w:ilvl w:val="0"/>
          <w:numId w:val="1"/>
        </w:numPr>
        <w:ind w:left="266" w:hanging="281"/>
      </w:pPr>
      <w:r>
        <w:t xml:space="preserve">Le dichiarazioni di cui ai commi 1 e 2 sono pubblicate nel sito della pubblica amministrazione, ente pubblico o ente di diritto privato in controllo pubblico che ha conferito l'incarico. </w:t>
      </w:r>
    </w:p>
    <w:p w:rsidR="00055300" w:rsidRDefault="00231ABD">
      <w:pPr>
        <w:spacing w:after="0" w:line="259" w:lineRule="auto"/>
        <w:ind w:left="-5" w:hanging="10"/>
        <w:jc w:val="center"/>
      </w:pPr>
      <w:proofErr w:type="gramStart"/>
      <w:r>
        <w:rPr>
          <w:i/>
        </w:rPr>
        <w:t>….…</w:t>
      </w:r>
      <w:proofErr w:type="gramEnd"/>
      <w:r>
        <w:rPr>
          <w:i/>
        </w:rPr>
        <w:t xml:space="preserve">.omissis……………… </w:t>
      </w:r>
    </w:p>
    <w:p w:rsidR="00055300" w:rsidRDefault="00231ABD">
      <w:pPr>
        <w:spacing w:after="59"/>
        <w:ind w:left="278"/>
      </w:pPr>
      <w:r>
        <w:t xml:space="preserve">5.  Ferma restando ogni altra responsabilità, la dichiarazione mendace, accertata dalla stessa amministrazione, nel rispetto del diritto di difesa e del contraddittorio dell'interessato, comporta la </w:t>
      </w:r>
      <w:proofErr w:type="spellStart"/>
      <w:r>
        <w:t>inconferibilità</w:t>
      </w:r>
      <w:proofErr w:type="spellEnd"/>
      <w:r>
        <w:t xml:space="preserve"> di qualsivoglia incarico di cui al presente decreto per un periodo di 5 anni.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2"/>
        </w:rPr>
        <w:t xml:space="preserve"> </w:t>
      </w:r>
    </w:p>
    <w:p w:rsidR="00055300" w:rsidRDefault="00231ABD">
      <w:pPr>
        <w:ind w:left="278"/>
        <w:jc w:val="left"/>
      </w:pPr>
      <w:r>
        <w:rPr>
          <w:b/>
        </w:rPr>
        <w:t xml:space="preserve">(2) </w:t>
      </w:r>
      <w:r>
        <w:rPr>
          <w:b/>
          <w:sz w:val="20"/>
        </w:rPr>
        <w:t xml:space="preserve">Art. </w:t>
      </w:r>
      <w:proofErr w:type="gramStart"/>
      <w:r>
        <w:rPr>
          <w:b/>
          <w:sz w:val="20"/>
        </w:rPr>
        <w:t>9</w:t>
      </w:r>
      <w:r>
        <w:rPr>
          <w:sz w:val="20"/>
        </w:rPr>
        <w:t xml:space="preserve">  </w:t>
      </w:r>
      <w:r>
        <w:rPr>
          <w:i/>
          <w:sz w:val="20"/>
        </w:rPr>
        <w:t>Incompatibilità</w:t>
      </w:r>
      <w:proofErr w:type="gramEnd"/>
      <w:r>
        <w:rPr>
          <w:i/>
          <w:sz w:val="20"/>
        </w:rPr>
        <w:t xml:space="preserve"> tra incarichi e cariche in enti di diritto privato regolati o finanziati nonché tra gli stessi incarichi e le attività professionali</w:t>
      </w:r>
      <w:r>
        <w:rPr>
          <w:i/>
        </w:rPr>
        <w:t xml:space="preserve"> </w:t>
      </w:r>
      <w:r>
        <w:t xml:space="preserve">  </w:t>
      </w:r>
    </w:p>
    <w:p w:rsidR="00055300" w:rsidRDefault="00231ABD">
      <w:pPr>
        <w:numPr>
          <w:ilvl w:val="0"/>
          <w:numId w:val="2"/>
        </w:numPr>
        <w:ind w:left="237" w:hanging="252"/>
      </w:pPr>
      <w:r>
        <w:t xml:space="preserve">Gli incarichi amministrativi di vertice e gli incarichi dirigenziali, comunque denominati, nelle pubbliche amministrazioni, che comportano poteri di vigilanza o controllo sulle attività svolte dagli enti di diritto privato regolati o finanziati dall'amministrazione </w:t>
      </w:r>
      <w:r>
        <w:lastRenderedPageBreak/>
        <w:t>che conferisce l'incarico, sono incompatibili con l'assunzione e il mantenimento, nel corso dell'incarico, di incarichi e cariche in enti di diritto privato regolati o finanziati dall'amministrazione o ente pubblico che conferisce l'incarico.</w:t>
      </w:r>
      <w:r>
        <w:rPr>
          <w:sz w:val="24"/>
        </w:rPr>
        <w:t xml:space="preserve"> </w:t>
      </w:r>
    </w:p>
    <w:p w:rsidR="00055300" w:rsidRDefault="00231ABD">
      <w:pPr>
        <w:numPr>
          <w:ilvl w:val="0"/>
          <w:numId w:val="2"/>
        </w:numPr>
        <w:ind w:left="237" w:hanging="252"/>
      </w:pPr>
      <w:r>
        <w:t xml:space="preserve">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 </w:t>
      </w:r>
    </w:p>
    <w:p w:rsidR="00055300" w:rsidRDefault="00231ABD">
      <w:pPr>
        <w:spacing w:after="3" w:line="259" w:lineRule="auto"/>
        <w:ind w:left="-15" w:firstLine="0"/>
        <w:jc w:val="left"/>
      </w:pPr>
      <w:r>
        <w:t xml:space="preserve"> </w:t>
      </w:r>
    </w:p>
    <w:p w:rsidR="00055300" w:rsidRDefault="00231ABD">
      <w:pPr>
        <w:ind w:left="278"/>
        <w:jc w:val="left"/>
      </w:pPr>
      <w:r>
        <w:rPr>
          <w:b/>
          <w:sz w:val="20"/>
        </w:rPr>
        <w:t xml:space="preserve">     Art. </w:t>
      </w:r>
      <w:proofErr w:type="gramStart"/>
      <w:r>
        <w:rPr>
          <w:b/>
          <w:sz w:val="20"/>
        </w:rPr>
        <w:t>12</w:t>
      </w:r>
      <w:r>
        <w:rPr>
          <w:sz w:val="20"/>
        </w:rPr>
        <w:t xml:space="preserve">  </w:t>
      </w:r>
      <w:r>
        <w:rPr>
          <w:i/>
          <w:sz w:val="20"/>
        </w:rPr>
        <w:t>Incompatibilità</w:t>
      </w:r>
      <w:proofErr w:type="gramEnd"/>
      <w:r>
        <w:rPr>
          <w:i/>
          <w:sz w:val="20"/>
        </w:rPr>
        <w:t xml:space="preserve"> tra incarichi dirigenziali interni e esterni e cariche di componenti degli organi di indirizzo nelle amministrazioni statali, regionali e locali </w:t>
      </w:r>
      <w:r>
        <w:rPr>
          <w:sz w:val="20"/>
        </w:rPr>
        <w:t xml:space="preserve"> </w:t>
      </w:r>
    </w:p>
    <w:p w:rsidR="00055300" w:rsidRDefault="00231ABD">
      <w:pPr>
        <w:ind w:left="278"/>
      </w:pPr>
      <w:r>
        <w:t xml:space="preserve"> 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 </w:t>
      </w:r>
    </w:p>
    <w:p w:rsidR="00055300" w:rsidRDefault="00231ABD">
      <w:pPr>
        <w:spacing w:after="0" w:line="259" w:lineRule="auto"/>
        <w:ind w:left="-5" w:hanging="10"/>
        <w:jc w:val="center"/>
      </w:pPr>
      <w:r>
        <w:rPr>
          <w:i/>
        </w:rPr>
        <w:t xml:space="preserve">……………… omissis ……………… </w:t>
      </w:r>
    </w:p>
    <w:p w:rsidR="00055300" w:rsidRDefault="00231ABD">
      <w:pPr>
        <w:ind w:left="278"/>
      </w:pPr>
      <w:r>
        <w:t xml:space="preserve">4.  Gli incarichi dirigenziali, interni e esterni, nelle pubbliche amministrazioni, negli enti pubblici e negli enti di diritto privato in controllo pubblico di livello provinciale o comunale sono incompatibili: </w:t>
      </w:r>
    </w:p>
    <w:p w:rsidR="00055300" w:rsidRDefault="00231ABD">
      <w:pPr>
        <w:numPr>
          <w:ilvl w:val="0"/>
          <w:numId w:val="3"/>
        </w:numPr>
        <w:ind w:left="220" w:hanging="235"/>
      </w:pPr>
      <w:r>
        <w:t xml:space="preserve">con la carica di componente della giunta o del consiglio della regione;  </w:t>
      </w:r>
    </w:p>
    <w:p w:rsidR="00055300" w:rsidRDefault="00231ABD">
      <w:pPr>
        <w:numPr>
          <w:ilvl w:val="0"/>
          <w:numId w:val="3"/>
        </w:numPr>
        <w:ind w:left="220" w:hanging="235"/>
      </w:pPr>
      <w:r>
        <w:t xml:space="preserve">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rsidR="00055300" w:rsidRDefault="00231ABD">
      <w:pPr>
        <w:numPr>
          <w:ilvl w:val="0"/>
          <w:numId w:val="3"/>
        </w:numPr>
        <w:spacing w:after="71"/>
        <w:ind w:left="220" w:hanging="235"/>
      </w:pPr>
      <w:r>
        <w:t xml:space="preserve">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tbl>
      <w:tblPr>
        <w:tblStyle w:val="TableGrid"/>
        <w:tblW w:w="9864" w:type="dxa"/>
        <w:tblInd w:w="-113" w:type="dxa"/>
        <w:tblCellMar>
          <w:top w:w="70" w:type="dxa"/>
          <w:left w:w="113" w:type="dxa"/>
          <w:right w:w="72" w:type="dxa"/>
        </w:tblCellMar>
        <w:tblLook w:val="04A0" w:firstRow="1" w:lastRow="0" w:firstColumn="1" w:lastColumn="0" w:noHBand="0" w:noVBand="1"/>
      </w:tblPr>
      <w:tblGrid>
        <w:gridCol w:w="9864"/>
      </w:tblGrid>
      <w:tr w:rsidR="00055300">
        <w:trPr>
          <w:trHeight w:val="8009"/>
        </w:trPr>
        <w:tc>
          <w:tcPr>
            <w:tcW w:w="9864" w:type="dxa"/>
            <w:tcBorders>
              <w:top w:val="single" w:sz="4" w:space="0" w:color="000000"/>
              <w:left w:val="single" w:sz="4" w:space="0" w:color="000000"/>
              <w:bottom w:val="single" w:sz="4" w:space="0" w:color="000000"/>
              <w:right w:val="single" w:sz="4" w:space="0" w:color="000000"/>
            </w:tcBorders>
          </w:tcPr>
          <w:p w:rsidR="00055300" w:rsidRDefault="00231ABD">
            <w:pPr>
              <w:pBdr>
                <w:top w:val="none" w:sz="0" w:space="0" w:color="auto"/>
                <w:left w:val="none" w:sz="0" w:space="0" w:color="auto"/>
                <w:bottom w:val="none" w:sz="0" w:space="0" w:color="auto"/>
                <w:right w:val="none" w:sz="0" w:space="0" w:color="auto"/>
              </w:pBdr>
              <w:tabs>
                <w:tab w:val="center" w:pos="4912"/>
              </w:tabs>
              <w:spacing w:after="0" w:line="259" w:lineRule="auto"/>
              <w:ind w:left="0" w:firstLine="0"/>
              <w:jc w:val="left"/>
            </w:pPr>
            <w:r>
              <w:rPr>
                <w:b/>
              </w:rPr>
              <w:t>(3)</w:t>
            </w:r>
            <w:r>
              <w:t xml:space="preserve">                             </w:t>
            </w:r>
            <w:r>
              <w:tab/>
            </w:r>
            <w:r>
              <w:rPr>
                <w:b/>
                <w:sz w:val="20"/>
              </w:rPr>
              <w:t xml:space="preserve">INFORMATIVA IN MATERIA DI TRATTAMENTO DEI DATI PERSONALI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i/>
                <w:sz w:val="20"/>
              </w:rPr>
              <w:t xml:space="preserve"> </w:t>
            </w:r>
          </w:p>
          <w:p w:rsidR="00055300" w:rsidRDefault="00231ABD">
            <w:pPr>
              <w:pBdr>
                <w:top w:val="none" w:sz="0" w:space="0" w:color="auto"/>
                <w:left w:val="none" w:sz="0" w:space="0" w:color="auto"/>
                <w:bottom w:val="none" w:sz="0" w:space="0" w:color="auto"/>
                <w:right w:val="none" w:sz="0" w:space="0" w:color="auto"/>
              </w:pBdr>
              <w:spacing w:after="0" w:line="240" w:lineRule="auto"/>
              <w:ind w:left="0" w:right="41" w:firstLine="0"/>
            </w:pPr>
            <w:r>
              <w:t xml:space="preserve">Ai sensi dell’art. 13 del Regolamento europeo n. 679/2016, il Comune di Ferrara, in qualità di “Titolare” del trattamento, è tenuto a fornirle informazioni in merito all’utilizzo dei Suoi dati personali. Al riguardo si precisa che nessun processo di decisione automatizzato sarà basato sui dati comunicati per il trattamento oggetto della presente informativa. </w:t>
            </w:r>
          </w:p>
          <w:p w:rsidR="00055300" w:rsidRDefault="00231ABD">
            <w:pPr>
              <w:numPr>
                <w:ilvl w:val="0"/>
                <w:numId w:val="5"/>
              </w:numPr>
              <w:pBdr>
                <w:top w:val="none" w:sz="0" w:space="0" w:color="auto"/>
                <w:left w:val="none" w:sz="0" w:space="0" w:color="auto"/>
                <w:bottom w:val="none" w:sz="0" w:space="0" w:color="auto"/>
                <w:right w:val="none" w:sz="0" w:space="0" w:color="auto"/>
              </w:pBdr>
              <w:spacing w:after="0" w:line="259" w:lineRule="auto"/>
              <w:ind w:hanging="180"/>
              <w:jc w:val="left"/>
            </w:pPr>
            <w:r>
              <w:rPr>
                <w:b/>
              </w:rPr>
              <w:t xml:space="preserve">Titolare del trattamento e Responsabile della protezione dei dati personali </w:t>
            </w:r>
          </w:p>
          <w:p w:rsidR="00055300" w:rsidRDefault="00231ABD">
            <w:pPr>
              <w:pBdr>
                <w:top w:val="none" w:sz="0" w:space="0" w:color="auto"/>
                <w:left w:val="none" w:sz="0" w:space="0" w:color="auto"/>
                <w:bottom w:val="none" w:sz="0" w:space="0" w:color="auto"/>
                <w:right w:val="none" w:sz="0" w:space="0" w:color="auto"/>
              </w:pBdr>
              <w:spacing w:after="0" w:line="240" w:lineRule="auto"/>
              <w:ind w:left="0" w:right="38" w:firstLine="0"/>
            </w:pPr>
            <w:r>
              <w:t xml:space="preserve">Il </w:t>
            </w:r>
            <w:r>
              <w:rPr>
                <w:u w:val="single" w:color="000000"/>
              </w:rPr>
              <w:t>Titolare del trattamento dei dati personali</w:t>
            </w:r>
            <w:r>
              <w:t xml:space="preserve"> di cui alla presente Informativa è il Comune di </w:t>
            </w:r>
            <w:r w:rsidR="00453D43">
              <w:t>MONOPOLI</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t xml:space="preserve">Si comunica che quale </w:t>
            </w:r>
            <w:r>
              <w:rPr>
                <w:u w:val="single" w:color="000000"/>
              </w:rPr>
              <w:t>Responsabile della protezione dei dati</w:t>
            </w:r>
            <w:r>
              <w:t xml:space="preserve"> è stata nominata la Società “</w:t>
            </w:r>
            <w:r w:rsidR="00453D43">
              <w:t>TD CONSULTING</w:t>
            </w:r>
            <w:r>
              <w:t xml:space="preserve">.” </w:t>
            </w:r>
          </w:p>
          <w:p w:rsidR="00055300" w:rsidRDefault="00231ABD">
            <w:pPr>
              <w:numPr>
                <w:ilvl w:val="0"/>
                <w:numId w:val="5"/>
              </w:numPr>
              <w:pBdr>
                <w:top w:val="none" w:sz="0" w:space="0" w:color="auto"/>
                <w:left w:val="none" w:sz="0" w:space="0" w:color="auto"/>
                <w:bottom w:val="none" w:sz="0" w:space="0" w:color="auto"/>
                <w:right w:val="none" w:sz="0" w:space="0" w:color="auto"/>
              </w:pBdr>
              <w:spacing w:after="0" w:line="259" w:lineRule="auto"/>
              <w:ind w:hanging="180"/>
              <w:jc w:val="left"/>
            </w:pPr>
            <w:r>
              <w:rPr>
                <w:b/>
              </w:rPr>
              <w:t xml:space="preserve">Responsabili del trattamento </w:t>
            </w:r>
          </w:p>
          <w:p w:rsidR="00055300" w:rsidRDefault="00231ABD">
            <w:pPr>
              <w:pBdr>
                <w:top w:val="none" w:sz="0" w:space="0" w:color="auto"/>
                <w:left w:val="none" w:sz="0" w:space="0" w:color="auto"/>
                <w:bottom w:val="none" w:sz="0" w:space="0" w:color="auto"/>
                <w:right w:val="none" w:sz="0" w:space="0" w:color="auto"/>
              </w:pBdr>
              <w:spacing w:after="1" w:line="240" w:lineRule="auto"/>
              <w:ind w:left="0" w:right="40" w:firstLine="0"/>
            </w:pPr>
            <w:r>
              <w:t>Il Comune di</w:t>
            </w:r>
            <w:r w:rsidR="00453D43">
              <w:t xml:space="preserve"> monopoli</w:t>
            </w:r>
            <w:r>
              <w:t xml:space="preserve"> può avvalersi di soggetti terzi per l’espletamento di attività e relativi trattamenti di dati personali di cui l’Ente detiene la titolarità. Conformemente a quanto stabilito dalla normativa, questi soggetti assicurano livelli di esperienza, capacità e affidabilità tali da garantire il rispetto delle vigenti disposizioni in materia di trattamento, ivi compreso il profilo della sicurezza dei dati. L’Ente provvede a formalizzare istruzioni, compiti ed oneri in capo a tali soggetti terzi con la designazione degli stessi a "Responsabili del trattamento". Tali soggetti sono sottoposti a verifiche periodiche al fine di costatare il mantenimento dei livelli di garanzia registrati in occasione dell’affidamento dell’incarico iniziale. </w:t>
            </w:r>
          </w:p>
          <w:p w:rsidR="00055300" w:rsidRDefault="00231ABD">
            <w:pPr>
              <w:numPr>
                <w:ilvl w:val="0"/>
                <w:numId w:val="5"/>
              </w:numPr>
              <w:pBdr>
                <w:top w:val="none" w:sz="0" w:space="0" w:color="auto"/>
                <w:left w:val="none" w:sz="0" w:space="0" w:color="auto"/>
                <w:bottom w:val="none" w:sz="0" w:space="0" w:color="auto"/>
                <w:right w:val="none" w:sz="0" w:space="0" w:color="auto"/>
              </w:pBdr>
              <w:spacing w:after="0" w:line="259" w:lineRule="auto"/>
              <w:ind w:hanging="180"/>
              <w:jc w:val="left"/>
            </w:pPr>
            <w:r>
              <w:rPr>
                <w:b/>
              </w:rPr>
              <w:t xml:space="preserve">Soggetti autorizzati al trattamento </w:t>
            </w:r>
          </w:p>
          <w:p w:rsidR="00055300" w:rsidRDefault="00231ABD">
            <w:pPr>
              <w:pBdr>
                <w:top w:val="none" w:sz="0" w:space="0" w:color="auto"/>
                <w:left w:val="none" w:sz="0" w:space="0" w:color="auto"/>
                <w:bottom w:val="none" w:sz="0" w:space="0" w:color="auto"/>
                <w:right w:val="none" w:sz="0" w:space="0" w:color="auto"/>
              </w:pBdr>
              <w:spacing w:after="1" w:line="240" w:lineRule="auto"/>
              <w:ind w:left="0" w:right="40" w:firstLine="0"/>
            </w:pPr>
            <w:r>
              <w:t xml:space="preserve">I Suoi dati personali sono trattati da personale interno previamente autorizzato e designato quale incaricato del trattamento, a cui sono impartite idonee istruzioni in ordine a misure, accorgimenti, </w:t>
            </w:r>
            <w:r>
              <w:rPr>
                <w:i/>
              </w:rPr>
              <w:t>modus operandi</w:t>
            </w:r>
            <w:r>
              <w:t xml:space="preserve">, tutti volti alla concreta tutela dei Suoi dati personali. </w:t>
            </w:r>
          </w:p>
          <w:p w:rsidR="00055300" w:rsidRDefault="00231ABD">
            <w:pPr>
              <w:numPr>
                <w:ilvl w:val="0"/>
                <w:numId w:val="6"/>
              </w:numPr>
              <w:pBdr>
                <w:top w:val="none" w:sz="0" w:space="0" w:color="auto"/>
                <w:left w:val="none" w:sz="0" w:space="0" w:color="auto"/>
                <w:bottom w:val="none" w:sz="0" w:space="0" w:color="auto"/>
                <w:right w:val="none" w:sz="0" w:space="0" w:color="auto"/>
              </w:pBdr>
              <w:spacing w:after="0" w:line="259" w:lineRule="auto"/>
              <w:ind w:hanging="180"/>
              <w:jc w:val="left"/>
            </w:pPr>
            <w:r>
              <w:rPr>
                <w:b/>
              </w:rPr>
              <w:t xml:space="preserve">Categorie di dati personali oggetto della presente informativa </w:t>
            </w:r>
          </w:p>
          <w:p w:rsidR="00055300" w:rsidRDefault="00231ABD">
            <w:pPr>
              <w:pBdr>
                <w:top w:val="none" w:sz="0" w:space="0" w:color="auto"/>
                <w:left w:val="none" w:sz="0" w:space="0" w:color="auto"/>
                <w:bottom w:val="none" w:sz="0" w:space="0" w:color="auto"/>
                <w:right w:val="none" w:sz="0" w:space="0" w:color="auto"/>
              </w:pBdr>
              <w:spacing w:after="0" w:line="241" w:lineRule="auto"/>
              <w:ind w:left="0" w:right="2929" w:firstLine="0"/>
              <w:jc w:val="left"/>
            </w:pPr>
            <w:r>
              <w:t xml:space="preserve">La presente informativa ha ad oggetto dati personali appartenenti alle seguenti categorie: a) dati identificativi (nome, cognome, nascita); </w:t>
            </w:r>
          </w:p>
          <w:p w:rsidR="00055300" w:rsidRDefault="00231ABD">
            <w:pPr>
              <w:numPr>
                <w:ilvl w:val="0"/>
                <w:numId w:val="6"/>
              </w:numPr>
              <w:pBdr>
                <w:top w:val="none" w:sz="0" w:space="0" w:color="auto"/>
                <w:left w:val="none" w:sz="0" w:space="0" w:color="auto"/>
                <w:bottom w:val="none" w:sz="0" w:space="0" w:color="auto"/>
                <w:right w:val="none" w:sz="0" w:space="0" w:color="auto"/>
              </w:pBdr>
              <w:spacing w:after="0" w:line="259" w:lineRule="auto"/>
              <w:ind w:hanging="180"/>
              <w:jc w:val="left"/>
            </w:pPr>
            <w:r>
              <w:rPr>
                <w:b/>
              </w:rPr>
              <w:t xml:space="preserve">Finalità e base giuridica del trattamento </w:t>
            </w:r>
          </w:p>
          <w:p w:rsidR="00055300" w:rsidRDefault="00231ABD">
            <w:pPr>
              <w:pBdr>
                <w:top w:val="none" w:sz="0" w:space="0" w:color="auto"/>
                <w:left w:val="none" w:sz="0" w:space="0" w:color="auto"/>
                <w:bottom w:val="none" w:sz="0" w:space="0" w:color="auto"/>
                <w:right w:val="none" w:sz="0" w:space="0" w:color="auto"/>
              </w:pBdr>
              <w:spacing w:after="1" w:line="240" w:lineRule="auto"/>
              <w:ind w:left="0" w:right="40" w:firstLine="0"/>
            </w:pPr>
            <w:r>
              <w:t xml:space="preserve">Il trattamento dei Suoi dati personali è effettuato dal Comune per lo svolgimento di funzioni istituzionali e pertanto, ai sensi dell’art. 6, comma 1, lett. e), del succitato Regolamento non necessita del Suo consenso. I dati personali sono trattati per le seguenti finalità: </w:t>
            </w:r>
          </w:p>
          <w:p w:rsidR="00055300" w:rsidRDefault="00231ABD">
            <w:pPr>
              <w:numPr>
                <w:ilvl w:val="0"/>
                <w:numId w:val="7"/>
              </w:numPr>
              <w:pBdr>
                <w:top w:val="none" w:sz="0" w:space="0" w:color="auto"/>
                <w:left w:val="none" w:sz="0" w:space="0" w:color="auto"/>
                <w:bottom w:val="none" w:sz="0" w:space="0" w:color="auto"/>
                <w:right w:val="none" w:sz="0" w:space="0" w:color="auto"/>
              </w:pBdr>
              <w:spacing w:after="2" w:line="239" w:lineRule="auto"/>
              <w:ind w:firstLine="0"/>
              <w:jc w:val="left"/>
            </w:pPr>
            <w:r>
              <w:t xml:space="preserve">per la pubblicazione in “Amministrazione trasparente” nel sito dell’Amministrazione comunale della dichiarazione a norma dell’art. 20, comma 3, del </w:t>
            </w:r>
            <w:proofErr w:type="spellStart"/>
            <w:r>
              <w:t>D.Lgs.</w:t>
            </w:r>
            <w:proofErr w:type="spellEnd"/>
            <w:r>
              <w:t xml:space="preserve"> n.39/2013; </w:t>
            </w:r>
          </w:p>
          <w:p w:rsidR="00055300" w:rsidRDefault="00231ABD">
            <w:pPr>
              <w:numPr>
                <w:ilvl w:val="0"/>
                <w:numId w:val="7"/>
              </w:numPr>
              <w:pBdr>
                <w:top w:val="none" w:sz="0" w:space="0" w:color="auto"/>
                <w:left w:val="none" w:sz="0" w:space="0" w:color="auto"/>
                <w:bottom w:val="none" w:sz="0" w:space="0" w:color="auto"/>
                <w:right w:val="none" w:sz="0" w:space="0" w:color="auto"/>
              </w:pBdr>
              <w:spacing w:after="0" w:line="259" w:lineRule="auto"/>
              <w:ind w:firstLine="0"/>
              <w:jc w:val="left"/>
            </w:pPr>
            <w:r>
              <w:t xml:space="preserve">per l’attività di verifica da parte del Responsabile della prevenzione della corruzione sulle dichiarazioni presentate.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b/>
              </w:rPr>
              <w:t xml:space="preserve">6. Destinatari dei dati personali e trasferimento dei dati personali a Paesi extra UE </w:t>
            </w:r>
          </w:p>
          <w:p w:rsidR="00055300" w:rsidRDefault="00231ABD">
            <w:pPr>
              <w:pBdr>
                <w:top w:val="none" w:sz="0" w:space="0" w:color="auto"/>
                <w:left w:val="none" w:sz="0" w:space="0" w:color="auto"/>
                <w:bottom w:val="none" w:sz="0" w:space="0" w:color="auto"/>
                <w:right w:val="none" w:sz="0" w:space="0" w:color="auto"/>
              </w:pBdr>
              <w:spacing w:after="0" w:line="259" w:lineRule="auto"/>
              <w:ind w:left="0" w:right="41" w:firstLine="0"/>
            </w:pPr>
            <w:r>
              <w:t xml:space="preserve">I Suoi dati personali potranno, nei casi previsti dall’art. 15, comma 2, del </w:t>
            </w:r>
            <w:proofErr w:type="spellStart"/>
            <w:r>
              <w:t>D.Lgs.</w:t>
            </w:r>
            <w:proofErr w:type="spellEnd"/>
            <w:r>
              <w:t xml:space="preserve"> n.39/2013, essere comunicati all’ANAC, all’AGCOM o alla Corte dei Conti. </w:t>
            </w:r>
            <w:r>
              <w:rPr>
                <w:u w:val="single" w:color="000000"/>
              </w:rPr>
              <w:t xml:space="preserve">La dichiarazione, inoltre, è soggetta a </w:t>
            </w:r>
            <w:r>
              <w:rPr>
                <w:b/>
                <w:u w:val="single" w:color="000000"/>
              </w:rPr>
              <w:t>diffusione</w:t>
            </w:r>
            <w:r>
              <w:rPr>
                <w:u w:val="single" w:color="000000"/>
              </w:rPr>
              <w:t xml:space="preserve"> tramite pubblicazione sul sito web del Comune di </w:t>
            </w:r>
            <w:r w:rsidR="00453D43">
              <w:rPr>
                <w:u w:val="single" w:color="000000"/>
              </w:rPr>
              <w:t>MONOPOLI</w:t>
            </w:r>
            <w:r>
              <w:rPr>
                <w:u w:val="single" w:color="000000"/>
              </w:rPr>
              <w:t xml:space="preserve"> a</w:t>
            </w:r>
            <w:r>
              <w:t xml:space="preserve"> </w:t>
            </w:r>
            <w:r>
              <w:rPr>
                <w:u w:val="single" w:color="000000"/>
              </w:rPr>
              <w:t xml:space="preserve">norma dell’art. 20, comma 3, del </w:t>
            </w:r>
            <w:proofErr w:type="spellStart"/>
            <w:r>
              <w:rPr>
                <w:u w:val="single" w:color="000000"/>
              </w:rPr>
              <w:t>D.Lgs.</w:t>
            </w:r>
            <w:proofErr w:type="spellEnd"/>
            <w:r>
              <w:rPr>
                <w:u w:val="single" w:color="000000"/>
              </w:rPr>
              <w:t xml:space="preserve"> n.39/2013</w:t>
            </w:r>
            <w:r>
              <w:t xml:space="preserve">.  </w:t>
            </w:r>
          </w:p>
        </w:tc>
      </w:tr>
    </w:tbl>
    <w:p w:rsidR="00055300" w:rsidRDefault="00231ABD">
      <w:pPr>
        <w:pStyle w:val="Titolo1"/>
        <w:ind w:left="165" w:hanging="180"/>
      </w:pPr>
      <w:r>
        <w:lastRenderedPageBreak/>
        <w:t xml:space="preserve">Periodo di conservazione </w:t>
      </w:r>
    </w:p>
    <w:p w:rsidR="00055300" w:rsidRDefault="00231ABD">
      <w:pPr>
        <w:ind w:left="-15" w:firstLine="0"/>
      </w:pPr>
      <w: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p>
    <w:p w:rsidR="00055300" w:rsidRDefault="00231ABD">
      <w:pPr>
        <w:pStyle w:val="Titolo1"/>
        <w:ind w:left="165" w:hanging="180"/>
      </w:pPr>
      <w:r>
        <w:t xml:space="preserve">I Suoi diritti </w:t>
      </w:r>
    </w:p>
    <w:p w:rsidR="00055300" w:rsidRDefault="00231ABD">
      <w:pPr>
        <w:ind w:left="-15" w:firstLine="0"/>
      </w:pPr>
      <w:r>
        <w:t xml:space="preserve">Nella Sua qualità di Interessato, Lei ha diritto: </w:t>
      </w:r>
    </w:p>
    <w:p w:rsidR="00055300" w:rsidRDefault="00231ABD">
      <w:pPr>
        <w:numPr>
          <w:ilvl w:val="0"/>
          <w:numId w:val="4"/>
        </w:numPr>
        <w:ind w:left="134" w:hanging="149"/>
      </w:pPr>
      <w:r>
        <w:t xml:space="preserve">di accesso ai </w:t>
      </w:r>
      <w:proofErr w:type="spellStart"/>
      <w:r>
        <w:t>daF</w:t>
      </w:r>
      <w:proofErr w:type="spellEnd"/>
      <w:r>
        <w:t xml:space="preserve"> personali; </w:t>
      </w:r>
    </w:p>
    <w:p w:rsidR="00055300" w:rsidRDefault="00231ABD">
      <w:pPr>
        <w:numPr>
          <w:ilvl w:val="0"/>
          <w:numId w:val="4"/>
        </w:numPr>
        <w:ind w:left="134" w:hanging="149"/>
      </w:pPr>
      <w:r>
        <w:t>di ottenere la rettifica, l’aggiornamento o la cancellazione degli stessi se incompleti, erronei o raccolti in violazione di legge o la limitazione del loro trattamento se eccedenti o non pertinenti; ● di opporsi al tra</w:t>
      </w:r>
      <w:r w:rsidR="00453D43">
        <w:t>tt</w:t>
      </w:r>
      <w:r>
        <w:t>amento, se ne ricorrono i presuppos</w:t>
      </w:r>
      <w:r w:rsidR="00453D43">
        <w:t>ti</w:t>
      </w:r>
      <w:r>
        <w:t xml:space="preserve">; </w:t>
      </w:r>
    </w:p>
    <w:p w:rsidR="00055300" w:rsidRDefault="00231ABD">
      <w:pPr>
        <w:numPr>
          <w:ilvl w:val="0"/>
          <w:numId w:val="4"/>
        </w:numPr>
        <w:ind w:left="134" w:hanging="149"/>
      </w:pPr>
      <w:r>
        <w:t xml:space="preserve">di proporre reclamo all’Autorità di controllo italiana (Garante per la protezione dei dati personali, Piazza di Monte </w:t>
      </w:r>
      <w:proofErr w:type="spellStart"/>
      <w:r>
        <w:t>Citorio</w:t>
      </w:r>
      <w:proofErr w:type="spellEnd"/>
      <w:r>
        <w:t xml:space="preserve"> n. 121 - 00186 Roma), in caso di non corretta applicazione della normativa sulla protezione dei dati personali. </w:t>
      </w:r>
    </w:p>
    <w:p w:rsidR="00055300" w:rsidRDefault="00231ABD">
      <w:pPr>
        <w:pStyle w:val="Titolo1"/>
        <w:ind w:left="165" w:hanging="180"/>
      </w:pPr>
      <w:r>
        <w:t xml:space="preserve">Conferimento dei dati </w:t>
      </w:r>
    </w:p>
    <w:p w:rsidR="00055300" w:rsidRDefault="00231ABD">
      <w:pPr>
        <w:spacing w:after="78"/>
        <w:ind w:left="-5" w:hanging="10"/>
      </w:pPr>
      <w:r>
        <w:t xml:space="preserve">Il conferimento dei Suoi dati è obbligatorio per le finalità sopra indicate. La mancata presentazione della dichiarazione o la presentazione di una dichiarazione mendace, ferma ogni altra responsabilità, può comportare conseguenze sul conferimento dell’incarico in questione.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p w:rsidR="00055300" w:rsidRDefault="00231ABD">
      <w:pPr>
        <w:spacing w:after="68" w:line="241" w:lineRule="auto"/>
        <w:ind w:left="283" w:right="4" w:hanging="283"/>
      </w:pPr>
      <w:r>
        <w:rPr>
          <w:b/>
        </w:rPr>
        <w:t>(4)</w:t>
      </w:r>
      <w:r>
        <w:t xml:space="preserve"> </w:t>
      </w:r>
      <w:r>
        <w:rPr>
          <w:i/>
          <w:sz w:val="20"/>
        </w:rPr>
        <w:t xml:space="preserve"> </w:t>
      </w:r>
      <w:r>
        <w:rPr>
          <w:sz w:val="20"/>
        </w:rPr>
        <w:t xml:space="preserve">La dichiarazione sostitutiva dell’atto di notorietà viene resa e sottoscritta dall’interessato utilizzando la firma digitale di cui è in possesso. Nel caso non disponesse della firma digitale dovrà sottoscrivere la dichiarazione con l’osservanza delle modalità di cui all’art. 38 del D.P.R. n.445/2000 (in presenza del dipendente addetto al loro ricevimento oppure allegando copia fotostatica di un documento di identità). </w:t>
      </w:r>
    </w:p>
    <w:p w:rsidR="00055300" w:rsidRDefault="00231ABD">
      <w:pPr>
        <w:pBdr>
          <w:top w:val="none" w:sz="0" w:space="0" w:color="auto"/>
          <w:left w:val="none" w:sz="0" w:space="0" w:color="auto"/>
          <w:bottom w:val="none" w:sz="0" w:space="0" w:color="auto"/>
          <w:right w:val="none" w:sz="0" w:space="0" w:color="auto"/>
        </w:pBdr>
        <w:spacing w:after="0" w:line="259" w:lineRule="auto"/>
        <w:ind w:left="0" w:firstLine="0"/>
        <w:jc w:val="left"/>
      </w:pPr>
      <w:r>
        <w:rPr>
          <w:sz w:val="24"/>
        </w:rPr>
        <w:t xml:space="preserve"> </w:t>
      </w:r>
    </w:p>
    <w:sectPr w:rsidR="00055300">
      <w:pgSz w:w="11900" w:h="16840"/>
      <w:pgMar w:top="1115" w:right="1126" w:bottom="117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12550"/>
    <w:multiLevelType w:val="hybridMultilevel"/>
    <w:tmpl w:val="49DE32EC"/>
    <w:lvl w:ilvl="0" w:tplc="04A6A736">
      <w:start w:val="4"/>
      <w:numFmt w:val="decimal"/>
      <w:lvlText w:val="%1."/>
      <w:lvlJc w:val="left"/>
      <w:pPr>
        <w:ind w:left="1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5BEE3D24">
      <w:start w:val="1"/>
      <w:numFmt w:val="lowerLetter"/>
      <w:lvlText w:val="%2"/>
      <w:lvlJc w:val="left"/>
      <w:pPr>
        <w:ind w:left="11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4321934">
      <w:start w:val="1"/>
      <w:numFmt w:val="lowerRoman"/>
      <w:lvlText w:val="%3"/>
      <w:lvlJc w:val="left"/>
      <w:pPr>
        <w:ind w:left="19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43E49D0">
      <w:start w:val="1"/>
      <w:numFmt w:val="decimal"/>
      <w:lvlText w:val="%4"/>
      <w:lvlJc w:val="left"/>
      <w:pPr>
        <w:ind w:left="26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2F83344">
      <w:start w:val="1"/>
      <w:numFmt w:val="lowerLetter"/>
      <w:lvlText w:val="%5"/>
      <w:lvlJc w:val="left"/>
      <w:pPr>
        <w:ind w:left="33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F1E3430">
      <w:start w:val="1"/>
      <w:numFmt w:val="lowerRoman"/>
      <w:lvlText w:val="%6"/>
      <w:lvlJc w:val="left"/>
      <w:pPr>
        <w:ind w:left="40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6DC807FA">
      <w:start w:val="1"/>
      <w:numFmt w:val="decimal"/>
      <w:lvlText w:val="%7"/>
      <w:lvlJc w:val="left"/>
      <w:pPr>
        <w:ind w:left="47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3820942">
      <w:start w:val="1"/>
      <w:numFmt w:val="lowerLetter"/>
      <w:lvlText w:val="%8"/>
      <w:lvlJc w:val="left"/>
      <w:pPr>
        <w:ind w:left="55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0AE4952">
      <w:start w:val="1"/>
      <w:numFmt w:val="lowerRoman"/>
      <w:lvlText w:val="%9"/>
      <w:lvlJc w:val="left"/>
      <w:pPr>
        <w:ind w:left="62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9744B7"/>
    <w:multiLevelType w:val="hybridMultilevel"/>
    <w:tmpl w:val="E494BA4A"/>
    <w:lvl w:ilvl="0" w:tplc="2FA89EFC">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70A56C">
      <w:start w:val="1"/>
      <w:numFmt w:val="lowerLetter"/>
      <w:lvlText w:val="%2"/>
      <w:lvlJc w:val="left"/>
      <w:pPr>
        <w:ind w:left="11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7EBA52">
      <w:start w:val="1"/>
      <w:numFmt w:val="lowerRoman"/>
      <w:lvlText w:val="%3"/>
      <w:lvlJc w:val="left"/>
      <w:pPr>
        <w:ind w:left="19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3AD0F0">
      <w:start w:val="1"/>
      <w:numFmt w:val="decimal"/>
      <w:lvlText w:val="%4"/>
      <w:lvlJc w:val="left"/>
      <w:pPr>
        <w:ind w:left="26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AC13F4">
      <w:start w:val="1"/>
      <w:numFmt w:val="lowerLetter"/>
      <w:lvlText w:val="%5"/>
      <w:lvlJc w:val="left"/>
      <w:pPr>
        <w:ind w:left="33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0FCFC">
      <w:start w:val="1"/>
      <w:numFmt w:val="lowerRoman"/>
      <w:lvlText w:val="%6"/>
      <w:lvlJc w:val="left"/>
      <w:pPr>
        <w:ind w:left="40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248B88">
      <w:start w:val="1"/>
      <w:numFmt w:val="decimal"/>
      <w:lvlText w:val="%7"/>
      <w:lvlJc w:val="left"/>
      <w:pPr>
        <w:ind w:left="47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C46DC2">
      <w:start w:val="1"/>
      <w:numFmt w:val="lowerLetter"/>
      <w:lvlText w:val="%8"/>
      <w:lvlJc w:val="left"/>
      <w:pPr>
        <w:ind w:left="55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0EB582">
      <w:start w:val="1"/>
      <w:numFmt w:val="lowerRoman"/>
      <w:lvlText w:val="%9"/>
      <w:lvlJc w:val="left"/>
      <w:pPr>
        <w:ind w:left="62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4A3031F"/>
    <w:multiLevelType w:val="hybridMultilevel"/>
    <w:tmpl w:val="C9A2D4EE"/>
    <w:lvl w:ilvl="0" w:tplc="2FC63570">
      <w:start w:val="1"/>
      <w:numFmt w:val="decimal"/>
      <w:lvlText w:val="%1."/>
      <w:lvlJc w:val="left"/>
      <w:pPr>
        <w:ind w:left="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D18FF3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FE6220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03859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D489A2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E2A74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A5493D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DCE4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0635F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4DF6CD5"/>
    <w:multiLevelType w:val="hybridMultilevel"/>
    <w:tmpl w:val="E25C794A"/>
    <w:lvl w:ilvl="0" w:tplc="84E496B4">
      <w:start w:val="2"/>
      <w:numFmt w:val="decimal"/>
      <w:lvlText w:val="%1."/>
      <w:lvlJc w:val="left"/>
      <w:pPr>
        <w:ind w:left="2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A442EE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BC4E8E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42F44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82FA9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90AE8C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DAD9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B2229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F5622D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516184C"/>
    <w:multiLevelType w:val="hybridMultilevel"/>
    <w:tmpl w:val="BD7A6236"/>
    <w:lvl w:ilvl="0" w:tplc="1DAEFB4A">
      <w:start w:val="1"/>
      <w:numFmt w:val="lowerLetter"/>
      <w:lvlText w:val="%1)"/>
      <w:lvlJc w:val="left"/>
      <w:pPr>
        <w:ind w:left="2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A05DBC">
      <w:start w:val="1"/>
      <w:numFmt w:val="lowerLetter"/>
      <w:lvlText w:val="%2"/>
      <w:lvlJc w:val="left"/>
      <w:pPr>
        <w:ind w:left="13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C20DDA6">
      <w:start w:val="1"/>
      <w:numFmt w:val="lowerRoman"/>
      <w:lvlText w:val="%3"/>
      <w:lvlJc w:val="left"/>
      <w:pPr>
        <w:ind w:left="20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36F3CC">
      <w:start w:val="1"/>
      <w:numFmt w:val="decimal"/>
      <w:lvlText w:val="%4"/>
      <w:lvlJc w:val="left"/>
      <w:pPr>
        <w:ind w:left="27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A42FDC">
      <w:start w:val="1"/>
      <w:numFmt w:val="lowerLetter"/>
      <w:lvlText w:val="%5"/>
      <w:lvlJc w:val="left"/>
      <w:pPr>
        <w:ind w:left="3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96EA47A">
      <w:start w:val="1"/>
      <w:numFmt w:val="lowerRoman"/>
      <w:lvlText w:val="%6"/>
      <w:lvlJc w:val="left"/>
      <w:pPr>
        <w:ind w:left="42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41CD454">
      <w:start w:val="1"/>
      <w:numFmt w:val="decimal"/>
      <w:lvlText w:val="%7"/>
      <w:lvlJc w:val="left"/>
      <w:pPr>
        <w:ind w:left="49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FADF44">
      <w:start w:val="1"/>
      <w:numFmt w:val="lowerLetter"/>
      <w:lvlText w:val="%8"/>
      <w:lvlJc w:val="left"/>
      <w:pPr>
        <w:ind w:left="5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2EABF32">
      <w:start w:val="1"/>
      <w:numFmt w:val="lowerRoman"/>
      <w:lvlText w:val="%9"/>
      <w:lvlJc w:val="left"/>
      <w:pPr>
        <w:ind w:left="63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7FF3853"/>
    <w:multiLevelType w:val="hybridMultilevel"/>
    <w:tmpl w:val="F1A63130"/>
    <w:lvl w:ilvl="0" w:tplc="7116EFF6">
      <w:start w:val="1"/>
      <w:numFmt w:val="bullet"/>
      <w:lvlText w:val="●"/>
      <w:lvlJc w:val="left"/>
      <w:pPr>
        <w:ind w:left="1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73E4880">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1D8B77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A616B0">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0C2537E">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C02018">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1100742">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F18629A">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48C694">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386E77"/>
    <w:multiLevelType w:val="hybridMultilevel"/>
    <w:tmpl w:val="10C806CE"/>
    <w:lvl w:ilvl="0" w:tplc="5942C25A">
      <w:start w:val="1"/>
      <w:numFmt w:val="decimal"/>
      <w:lvlText w:val="%1."/>
      <w:lvlJc w:val="left"/>
      <w:pPr>
        <w:ind w:left="1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55CD4A0">
      <w:start w:val="1"/>
      <w:numFmt w:val="lowerLetter"/>
      <w:lvlText w:val="%2"/>
      <w:lvlJc w:val="left"/>
      <w:pPr>
        <w:ind w:left="11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E6A8B22">
      <w:start w:val="1"/>
      <w:numFmt w:val="lowerRoman"/>
      <w:lvlText w:val="%3"/>
      <w:lvlJc w:val="left"/>
      <w:pPr>
        <w:ind w:left="19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EA6DF36">
      <w:start w:val="1"/>
      <w:numFmt w:val="decimal"/>
      <w:lvlText w:val="%4"/>
      <w:lvlJc w:val="left"/>
      <w:pPr>
        <w:ind w:left="26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358604E">
      <w:start w:val="1"/>
      <w:numFmt w:val="lowerLetter"/>
      <w:lvlText w:val="%5"/>
      <w:lvlJc w:val="left"/>
      <w:pPr>
        <w:ind w:left="335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DEE4F16">
      <w:start w:val="1"/>
      <w:numFmt w:val="lowerRoman"/>
      <w:lvlText w:val="%6"/>
      <w:lvlJc w:val="left"/>
      <w:pPr>
        <w:ind w:left="407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48069C6">
      <w:start w:val="1"/>
      <w:numFmt w:val="decimal"/>
      <w:lvlText w:val="%7"/>
      <w:lvlJc w:val="left"/>
      <w:pPr>
        <w:ind w:left="479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7043EDC">
      <w:start w:val="1"/>
      <w:numFmt w:val="lowerLetter"/>
      <w:lvlText w:val="%8"/>
      <w:lvlJc w:val="left"/>
      <w:pPr>
        <w:ind w:left="551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BC0A632">
      <w:start w:val="1"/>
      <w:numFmt w:val="lowerRoman"/>
      <w:lvlText w:val="%9"/>
      <w:lvlJc w:val="left"/>
      <w:pPr>
        <w:ind w:left="623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2412732"/>
    <w:multiLevelType w:val="hybridMultilevel"/>
    <w:tmpl w:val="B8BA67C0"/>
    <w:lvl w:ilvl="0" w:tplc="97D677D8">
      <w:start w:val="7"/>
      <w:numFmt w:val="decimal"/>
      <w:pStyle w:val="Titolo1"/>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5FE990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07EA171A">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C632E020">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A78D42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1CC385A">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C909D5C">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E1649E6">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F60B982">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00"/>
    <w:rsid w:val="00055300"/>
    <w:rsid w:val="00231ABD"/>
    <w:rsid w:val="00286325"/>
    <w:rsid w:val="00453D43"/>
    <w:rsid w:val="005B609C"/>
    <w:rsid w:val="00BB7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69572-A1A4-4128-9687-846D48C9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4" w:line="249" w:lineRule="auto"/>
      <w:ind w:left="293" w:hanging="293"/>
      <w:jc w:val="both"/>
    </w:pPr>
    <w:rPr>
      <w:rFonts w:ascii="Calibri" w:eastAsia="Calibri" w:hAnsi="Calibri" w:cs="Calibri"/>
      <w:color w:val="000000"/>
      <w:sz w:val="18"/>
    </w:rPr>
  </w:style>
  <w:style w:type="paragraph" w:styleId="Titolo1">
    <w:name w:val="heading 1"/>
    <w:next w:val="Normale"/>
    <w:link w:val="Titolo1Carattere"/>
    <w:uiPriority w:val="9"/>
    <w:qFormat/>
    <w:pPr>
      <w:keepNext/>
      <w:keepLines/>
      <w:numPr>
        <w:numId w:val="8"/>
      </w:numPr>
      <w:pBdr>
        <w:top w:val="single" w:sz="4" w:space="0" w:color="000000"/>
        <w:left w:val="single" w:sz="4" w:space="0" w:color="000000"/>
        <w:bottom w:val="single" w:sz="4" w:space="0" w:color="000000"/>
        <w:right w:val="single" w:sz="4" w:space="0" w:color="000000"/>
      </w:pBdr>
      <w:spacing w:after="0"/>
      <w:ind w:left="10" w:hanging="10"/>
      <w:outlineLvl w:val="0"/>
    </w:pPr>
    <w:rPr>
      <w:rFonts w:ascii="Calibri" w:eastAsia="Calibri" w:hAnsi="Calibri" w:cs="Calibri"/>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1604</Words>
  <Characters>9144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2018 - Dichiarazione annuale art. 20 D.Lgs. 39-2013</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 Dichiarazione annuale art. 20 D.Lgs. 39-2013</dc:title>
  <dc:subject/>
  <dc:creator>mt.pinna</dc:creator>
  <cp:keywords/>
  <cp:lastModifiedBy>MARIELLA MASTROMARCO</cp:lastModifiedBy>
  <cp:revision>2</cp:revision>
  <dcterms:created xsi:type="dcterms:W3CDTF">2021-05-12T10:12:00Z</dcterms:created>
  <dcterms:modified xsi:type="dcterms:W3CDTF">2021-05-12T10:12:00Z</dcterms:modified>
</cp:coreProperties>
</file>