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DF" w:rsidRPr="00D81BA8" w:rsidRDefault="00FE29DF" w:rsidP="00FE29DF">
      <w:pPr>
        <w:rPr>
          <w:rFonts w:ascii="Cambria" w:hAnsi="Cambria" w:cs="Times New Roman"/>
          <w:i w:val="0"/>
          <w:sz w:val="22"/>
        </w:rPr>
      </w:pPr>
    </w:p>
    <w:p w:rsidR="00FE29DF" w:rsidRPr="00D81BA8" w:rsidRDefault="00FE29DF" w:rsidP="00FE29DF">
      <w:pPr>
        <w:rPr>
          <w:rFonts w:ascii="Cambria" w:hAnsi="Cambria" w:cs="Times New Roman"/>
          <w:i w:val="0"/>
          <w:sz w:val="22"/>
        </w:rPr>
      </w:pPr>
    </w:p>
    <w:p w:rsidR="00F40680" w:rsidRPr="00D81BA8" w:rsidRDefault="00F40680" w:rsidP="00F40680">
      <w:pPr>
        <w:ind w:left="0" w:firstLine="0"/>
        <w:rPr>
          <w:rFonts w:ascii="Cambria" w:hAnsi="Cambria" w:cs="Times New Roman"/>
          <w:i w:val="0"/>
          <w:sz w:val="28"/>
          <w:szCs w:val="28"/>
        </w:rPr>
      </w:pPr>
      <w:r w:rsidRPr="00D81BA8">
        <w:rPr>
          <w:rFonts w:ascii="Cambria" w:hAnsi="Cambria" w:cs="Times New Roman"/>
          <w:i w:val="0"/>
          <w:sz w:val="22"/>
        </w:rPr>
        <w:t xml:space="preserve">                                                                    </w:t>
      </w:r>
      <w:r w:rsidRPr="00D81BA8">
        <w:rPr>
          <w:rFonts w:ascii="Cambria" w:hAnsi="Cambria" w:cs="Times New Roman"/>
          <w:i w:val="0"/>
          <w:sz w:val="28"/>
          <w:szCs w:val="28"/>
        </w:rPr>
        <w:t>LE INIZIATIVE DI NOVEMBRE</w:t>
      </w:r>
    </w:p>
    <w:p w:rsidR="00F40680" w:rsidRPr="00D81BA8" w:rsidRDefault="00F40680" w:rsidP="00F40680">
      <w:pPr>
        <w:spacing w:after="0" w:line="360" w:lineRule="auto"/>
        <w:ind w:left="0" w:firstLine="0"/>
        <w:jc w:val="left"/>
        <w:rPr>
          <w:rFonts w:ascii="Cambria" w:hAnsi="Cambria" w:cs="Times New Roman"/>
          <w:i w:val="0"/>
          <w:sz w:val="28"/>
          <w:szCs w:val="28"/>
        </w:rPr>
      </w:pPr>
    </w:p>
    <w:p w:rsidR="00F40680" w:rsidRPr="00D81BA8" w:rsidRDefault="00F40680" w:rsidP="00F40680">
      <w:pPr>
        <w:spacing w:after="0" w:line="360" w:lineRule="auto"/>
        <w:ind w:left="0" w:firstLine="0"/>
        <w:jc w:val="left"/>
        <w:rPr>
          <w:rFonts w:ascii="Cambria" w:eastAsiaTheme="minorHAnsi" w:hAnsi="Cambria" w:cs="Arial"/>
          <w:b/>
          <w:i w:val="0"/>
          <w:color w:val="404040" w:themeColor="text1" w:themeTint="BF"/>
          <w:sz w:val="22"/>
          <w:bdr w:val="none" w:sz="0" w:space="0" w:color="auto" w:frame="1"/>
          <w:lang w:eastAsia="en-US"/>
        </w:rPr>
      </w:pP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Numerose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le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iniziative programmate nel mese di novembre presso il Museo Diocesano, i due concerti di musica barocca del </w:t>
      </w:r>
      <w:r w:rsidR="00D81BA8">
        <w:rPr>
          <w:rFonts w:ascii="Cambria" w:eastAsiaTheme="minorHAnsi" w:hAnsi="Cambria" w:cs="Arial"/>
          <w:b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Festival </w:t>
      </w:r>
      <w:proofErr w:type="spellStart"/>
      <w:r w:rsidR="00D81BA8">
        <w:rPr>
          <w:rFonts w:ascii="Cambria" w:eastAsiaTheme="minorHAnsi" w:hAnsi="Cambria" w:cs="Arial"/>
          <w:b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ApuliAn</w:t>
      </w:r>
      <w:r w:rsidRPr="00D81BA8">
        <w:rPr>
          <w:rFonts w:ascii="Cambria" w:eastAsiaTheme="minorHAnsi" w:hAnsi="Cambria" w:cs="Arial"/>
          <w:b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tiqua</w:t>
      </w:r>
      <w:proofErr w:type="spellEnd"/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(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il prossimo domenica 20 alle ore 18.00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)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, 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mentre 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sabato </w:t>
      </w:r>
      <w:proofErr w:type="gramStart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19 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si</w:t>
      </w:r>
      <w:proofErr w:type="gramEnd"/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terrà 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la presentazione del volume di don Sandro Ramirez </w:t>
      </w:r>
      <w:r w:rsidRPr="00D81BA8">
        <w:rPr>
          <w:rFonts w:ascii="Cambria" w:eastAsiaTheme="minorHAnsi" w:hAnsi="Cambria" w:cs="Arial"/>
          <w:b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ASCOLTA! LA PAROLA TI FA CHIESA.</w:t>
      </w:r>
    </w:p>
    <w:p w:rsidR="00F40680" w:rsidRPr="00D81BA8" w:rsidRDefault="00F40680" w:rsidP="00F40680">
      <w:pPr>
        <w:spacing w:after="0" w:line="360" w:lineRule="auto"/>
        <w:ind w:left="0" w:firstLine="0"/>
        <w:jc w:val="left"/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</w:pP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Interessante la nuova installazione di arte contemporanea di Massimo </w:t>
      </w:r>
      <w:proofErr w:type="spellStart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Romanazzi</w:t>
      </w:r>
      <w:proofErr w:type="spellEnd"/>
      <w:r w:rsidRPr="00D81BA8">
        <w:rPr>
          <w:rFonts w:ascii="Cambria" w:eastAsiaTheme="minorHAnsi" w:hAnsi="Cambria" w:cs="Arial"/>
          <w:b/>
          <w:color w:val="404040" w:themeColor="text1" w:themeTint="BF"/>
          <w:sz w:val="22"/>
          <w:bdr w:val="none" w:sz="0" w:space="0" w:color="auto" w:frame="1"/>
          <w:lang w:eastAsia="en-US"/>
        </w:rPr>
        <w:t xml:space="preserve"> Sopra l’ombra dei tigli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, 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che sarà presentata </w:t>
      </w:r>
      <w:r w:rsidR="002D0964" w:rsidRPr="00D81BA8">
        <w:rPr>
          <w:rFonts w:ascii="Cambria" w:eastAsiaTheme="minorHAnsi" w:hAnsi="Cambria" w:cs="Arial"/>
          <w:b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venerdì 18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alle ore </w:t>
      </w:r>
      <w:r w:rsidR="002D0964" w:rsidRPr="00D81BA8">
        <w:rPr>
          <w:rFonts w:ascii="Cambria" w:eastAsiaTheme="minorHAnsi" w:hAnsi="Cambria" w:cs="Arial"/>
          <w:b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18,30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; è </w:t>
      </w:r>
      <w:proofErr w:type="gramStart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il  quarto</w:t>
      </w:r>
      <w:proofErr w:type="gram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movimento di </w:t>
      </w:r>
      <w:r w:rsidRPr="00D81BA8">
        <w:rPr>
          <w:rFonts w:ascii="Cambria" w:eastAsiaTheme="minorHAnsi" w:hAnsi="Cambria" w:cs="Arial"/>
          <w:b/>
          <w:color w:val="404040" w:themeColor="text1" w:themeTint="BF"/>
          <w:sz w:val="22"/>
          <w:bdr w:val="none" w:sz="0" w:space="0" w:color="auto" w:frame="1"/>
          <w:lang w:eastAsia="en-US"/>
        </w:rPr>
        <w:t>Innesti,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una serie di installazioni e dialoghi all’interno del progetto </w:t>
      </w:r>
      <w:proofErr w:type="spellStart"/>
      <w:r w:rsidRPr="00D81BA8">
        <w:rPr>
          <w:rFonts w:ascii="Cambria" w:eastAsiaTheme="minorHAnsi" w:hAnsi="Cambria" w:cs="Arial"/>
          <w:b/>
          <w:color w:val="404040" w:themeColor="text1" w:themeTint="BF"/>
          <w:sz w:val="22"/>
          <w:bdr w:val="none" w:sz="0" w:space="0" w:color="auto" w:frame="1"/>
          <w:lang w:eastAsia="en-US"/>
        </w:rPr>
        <w:t>Prospicio</w:t>
      </w:r>
      <w:proofErr w:type="spell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- installazione site-</w:t>
      </w:r>
      <w:proofErr w:type="spellStart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specific</w:t>
      </w:r>
      <w:proofErr w:type="spell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di Marina Quaranta presso la “Biblioteca Mons. </w:t>
      </w:r>
      <w:proofErr w:type="spellStart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Pedicini</w:t>
      </w:r>
      <w:proofErr w:type="spell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” nel Museo Diocesano di Monopoli.</w:t>
      </w:r>
    </w:p>
    <w:p w:rsidR="00F40680" w:rsidRPr="00D81BA8" w:rsidRDefault="00F40680" w:rsidP="00F40680">
      <w:pPr>
        <w:spacing w:after="0" w:line="360" w:lineRule="auto"/>
        <w:ind w:left="0" w:firstLine="0"/>
        <w:jc w:val="left"/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</w:pPr>
      <w:r w:rsidRPr="00D81BA8">
        <w:rPr>
          <w:rFonts w:ascii="Cambria" w:eastAsiaTheme="minorHAnsi" w:hAnsi="Cambria" w:cs="Arial"/>
          <w:b/>
          <w:color w:val="404040" w:themeColor="text1" w:themeTint="BF"/>
          <w:sz w:val="22"/>
          <w:bdr w:val="none" w:sz="0" w:space="0" w:color="auto" w:frame="1"/>
          <w:lang w:eastAsia="en-US"/>
        </w:rPr>
        <w:t>Sopra l’ombra dei tigli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concretizza un’interpretazione delle sug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gestioni innescate dall’opera della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Quaranta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,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che ha risemantizzato lo spazio che l’ha determinata. </w:t>
      </w:r>
    </w:p>
    <w:p w:rsidR="00F40680" w:rsidRPr="00D81BA8" w:rsidRDefault="00F40680" w:rsidP="00F40680">
      <w:pPr>
        <w:spacing w:after="0" w:line="360" w:lineRule="auto"/>
        <w:ind w:left="0" w:firstLine="0"/>
        <w:jc w:val="left"/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</w:pPr>
      <w:proofErr w:type="spellStart"/>
      <w:r w:rsidRPr="00D81BA8">
        <w:rPr>
          <w:rFonts w:ascii="Cambria" w:eastAsiaTheme="minorHAnsi" w:hAnsi="Cambria" w:cs="Arial"/>
          <w:b/>
          <w:color w:val="404040" w:themeColor="text1" w:themeTint="BF"/>
          <w:sz w:val="22"/>
          <w:bdr w:val="none" w:sz="0" w:space="0" w:color="auto" w:frame="1"/>
          <w:lang w:eastAsia="en-US"/>
        </w:rPr>
        <w:t>Prospicio</w:t>
      </w:r>
      <w:proofErr w:type="spell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, entrata a pezzi nella sala della biblioteca si è fatta volume in rapporto al luogo, architettura contenuta nell’architettura, baldacchino in chiesa, studiolo in Biblioteca. I temi dell’abitare cari all’Autrice messi, fuor di metafora, in prospettiva, determinano una forte volontà ascensionale che si fa segno verticale nella stanza. </w:t>
      </w:r>
    </w:p>
    <w:p w:rsidR="00F40680" w:rsidRPr="00D81BA8" w:rsidRDefault="00F40680" w:rsidP="002D0964">
      <w:pPr>
        <w:spacing w:after="0" w:line="360" w:lineRule="auto"/>
        <w:ind w:left="0" w:firstLine="0"/>
        <w:jc w:val="left"/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</w:pP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L’installazione di </w:t>
      </w:r>
      <w:proofErr w:type="spellStart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Romanazzi</w:t>
      </w:r>
      <w:proofErr w:type="spell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</w:t>
      </w:r>
      <w:r w:rsidR="002D0964"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la arricchisce 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con un se</w:t>
      </w:r>
      <w:r w:rsid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gno orizzontale che porta con </w:t>
      </w:r>
      <w:proofErr w:type="spellStart"/>
      <w:r w:rsid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sè</w:t>
      </w:r>
      <w:proofErr w:type="spell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una personale interpretazione dell’abitare in rapporto alla sua biografia, alla propria casa, al suo studio affacciato su una piccola piazza, </w:t>
      </w:r>
      <w:r w:rsidRPr="00D81BA8">
        <w:rPr>
          <w:rFonts w:ascii="Cambria" w:eastAsiaTheme="minorHAnsi" w:hAnsi="Cambria" w:cs="Arial"/>
          <w:color w:val="404040" w:themeColor="text1" w:themeTint="BF"/>
          <w:sz w:val="22"/>
          <w:bdr w:val="none" w:sz="0" w:space="0" w:color="auto" w:frame="1"/>
          <w:lang w:eastAsia="en-US"/>
        </w:rPr>
        <w:t>sopra l’ombra dei tigli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. “</w:t>
      </w:r>
      <w:r w:rsidRPr="00D81BA8">
        <w:rPr>
          <w:rFonts w:ascii="Cambria" w:eastAsiaTheme="minorHAnsi" w:hAnsi="Cambria" w:cs="Arial"/>
          <w:color w:val="404040" w:themeColor="text1" w:themeTint="BF"/>
          <w:sz w:val="22"/>
          <w:bdr w:val="none" w:sz="0" w:space="0" w:color="auto" w:frame="1"/>
          <w:lang w:eastAsia="en-US"/>
        </w:rPr>
        <w:t>Se dovessi portare in tasca la mia casa, oggi, porterei in tasca un libro con una foglia di tiglio fra le pagine.”</w:t>
      </w:r>
    </w:p>
    <w:p w:rsidR="00F40680" w:rsidRPr="00D81BA8" w:rsidRDefault="00F40680" w:rsidP="00F4068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firstLine="0"/>
        <w:jc w:val="left"/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</w:pPr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 xml:space="preserve">Massimo </w:t>
      </w:r>
      <w:proofErr w:type="spellStart"/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>Romanazzi</w:t>
      </w:r>
      <w:proofErr w:type="spellEnd"/>
      <w:r w:rsidRPr="00D81BA8"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  <w:t>, architetto, nel corso degli anni ha elaborato e seguito diversi progetti nel campo dell’architettura, della grafica, della fotografia, del video e del teatro, collaborando all’ideazione e realizzazione di istallazioni site-</w:t>
      </w:r>
      <w:proofErr w:type="spellStart"/>
      <w:r w:rsidRPr="00D81BA8"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  <w:t>specific</w:t>
      </w:r>
      <w:proofErr w:type="spellEnd"/>
      <w:r w:rsidRPr="00D81BA8"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  <w:t xml:space="preserve">. Fa parte del collettivo </w:t>
      </w:r>
      <w:proofErr w:type="spellStart"/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>Macrohabitat</w:t>
      </w:r>
      <w:proofErr w:type="spellEnd"/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 xml:space="preserve">, </w:t>
      </w:r>
      <w:proofErr w:type="spellStart"/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>nùevù</w:t>
      </w:r>
      <w:proofErr w:type="spellEnd"/>
      <w:r w:rsidRPr="00D81BA8"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  <w:t xml:space="preserve"> </w:t>
      </w:r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 xml:space="preserve">design studio, </w:t>
      </w:r>
      <w:proofErr w:type="spellStart"/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>altereco</w:t>
      </w:r>
      <w:proofErr w:type="spellEnd"/>
      <w:r w:rsidRPr="00D81BA8"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  <w:t xml:space="preserve">. È tra gli ideatori del micro-festival </w:t>
      </w:r>
      <w:r w:rsidRPr="00D81BA8">
        <w:rPr>
          <w:rFonts w:ascii="Cambria" w:eastAsia="Arial Unicode MS" w:hAnsi="Cambria" w:cs="Arial"/>
          <w:b/>
          <w:i w:val="0"/>
          <w:color w:val="404040" w:themeColor="text1" w:themeTint="BF"/>
          <w:sz w:val="22"/>
          <w:bdr w:val="nil"/>
        </w:rPr>
        <w:t xml:space="preserve">Disimpegno </w:t>
      </w:r>
      <w:r w:rsidRPr="00D81BA8"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  <w:t>| appunti intorno all’abitare.</w:t>
      </w:r>
    </w:p>
    <w:p w:rsidR="00F40680" w:rsidRPr="00D81BA8" w:rsidRDefault="002D0964" w:rsidP="005B4FA9">
      <w:pPr>
        <w:spacing w:after="0" w:line="360" w:lineRule="auto"/>
        <w:ind w:left="0" w:firstLine="0"/>
        <w:jc w:val="left"/>
        <w:rPr>
          <w:rFonts w:ascii="Cambria" w:eastAsia="Times New Roman" w:hAnsi="Cambria" w:cs="Times New Roman"/>
          <w:i w:val="0"/>
          <w:sz w:val="22"/>
        </w:rPr>
      </w:pPr>
      <w:r w:rsidRPr="00D81BA8">
        <w:rPr>
          <w:rFonts w:ascii="Cambria" w:eastAsia="Arial Unicode MS" w:hAnsi="Cambria" w:cs="Arial"/>
          <w:i w:val="0"/>
          <w:color w:val="404040" w:themeColor="text1" w:themeTint="BF"/>
          <w:sz w:val="22"/>
          <w:bdr w:val="nil"/>
        </w:rPr>
        <w:t xml:space="preserve">L’esposizione dell’installazione 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site-</w:t>
      </w:r>
      <w:proofErr w:type="spellStart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specific</w:t>
      </w:r>
      <w:proofErr w:type="spellEnd"/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 xml:space="preserve"> 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8"/>
          <w:szCs w:val="28"/>
          <w:bdr w:val="none" w:sz="0" w:space="0" w:color="auto" w:frame="1"/>
          <w:lang w:eastAsia="en-US"/>
        </w:rPr>
        <w:t xml:space="preserve">P R O S P I C I O, </w:t>
      </w:r>
      <w:r w:rsidRPr="00D81BA8">
        <w:rPr>
          <w:rFonts w:ascii="Cambria" w:eastAsiaTheme="minorHAnsi" w:hAnsi="Cambria" w:cs="Arial"/>
          <w:i w:val="0"/>
          <w:color w:val="404040" w:themeColor="text1" w:themeTint="BF"/>
          <w:sz w:val="22"/>
          <w:bdr w:val="none" w:sz="0" w:space="0" w:color="auto" w:frame="1"/>
          <w:lang w:eastAsia="en-US"/>
        </w:rPr>
        <w:t>di Marina Quaranta, è prorogata fino al 7 gennaio 2023.</w:t>
      </w:r>
      <w:bookmarkStart w:id="0" w:name="_GoBack"/>
      <w:bookmarkEnd w:id="0"/>
    </w:p>
    <w:p w:rsidR="00F40680" w:rsidRPr="00D81BA8" w:rsidRDefault="00F40680" w:rsidP="00F40680">
      <w:pPr>
        <w:spacing w:after="0" w:line="240" w:lineRule="auto"/>
        <w:ind w:left="690"/>
        <w:rPr>
          <w:rFonts w:ascii="Cambria" w:eastAsia="Times New Roman" w:hAnsi="Cambria" w:cs="Times New Roman"/>
          <w:i w:val="0"/>
          <w:sz w:val="22"/>
        </w:rPr>
      </w:pPr>
    </w:p>
    <w:p w:rsidR="008A742A" w:rsidRPr="00D81BA8" w:rsidRDefault="008A742A" w:rsidP="008A742A">
      <w:pPr>
        <w:spacing w:after="0" w:line="240" w:lineRule="auto"/>
        <w:ind w:left="690"/>
        <w:rPr>
          <w:rFonts w:ascii="Cambria" w:eastAsia="Times New Roman" w:hAnsi="Cambria" w:cs="Times New Roman"/>
          <w:i w:val="0"/>
          <w:sz w:val="22"/>
        </w:rPr>
      </w:pPr>
    </w:p>
    <w:p w:rsidR="00FE29DF" w:rsidRPr="00D81BA8" w:rsidRDefault="00FE29DF" w:rsidP="00FE29DF">
      <w:pPr>
        <w:ind w:left="690"/>
        <w:rPr>
          <w:rFonts w:ascii="Cambria" w:hAnsi="Cambria" w:cs="Times New Roman"/>
          <w:i w:val="0"/>
          <w:sz w:val="22"/>
        </w:rPr>
      </w:pPr>
    </w:p>
    <w:p w:rsidR="00B72169" w:rsidRPr="00D81BA8" w:rsidRDefault="00B72169" w:rsidP="00FF465F">
      <w:pPr>
        <w:ind w:left="690"/>
        <w:rPr>
          <w:rFonts w:ascii="Cambria" w:hAnsi="Cambria" w:cs="Times New Roman"/>
          <w:i w:val="0"/>
          <w:sz w:val="22"/>
        </w:rPr>
      </w:pPr>
      <w:r w:rsidRPr="00D81BA8">
        <w:rPr>
          <w:rFonts w:ascii="Cambria" w:hAnsi="Cambria" w:cs="Times New Roman"/>
          <w:i w:val="0"/>
          <w:sz w:val="22"/>
        </w:rPr>
        <w:t xml:space="preserve">                                                                                                       </w:t>
      </w:r>
      <w:r w:rsidR="00CB4221" w:rsidRPr="00D81BA8">
        <w:rPr>
          <w:rFonts w:ascii="Cambria" w:hAnsi="Cambria" w:cs="Times New Roman"/>
          <w:i w:val="0"/>
          <w:sz w:val="22"/>
        </w:rPr>
        <w:t xml:space="preserve">      </w:t>
      </w:r>
      <w:r w:rsidRPr="00D81BA8">
        <w:rPr>
          <w:rFonts w:ascii="Cambria" w:hAnsi="Cambria" w:cs="Times New Roman"/>
          <w:i w:val="0"/>
          <w:sz w:val="22"/>
        </w:rPr>
        <w:t xml:space="preserve">       </w:t>
      </w:r>
    </w:p>
    <w:p w:rsidR="00CB4221" w:rsidRPr="00D81BA8" w:rsidRDefault="00CB4221" w:rsidP="00CB4221">
      <w:pPr>
        <w:spacing w:after="0" w:line="240" w:lineRule="auto"/>
        <w:ind w:left="690"/>
        <w:rPr>
          <w:rFonts w:ascii="Cambria" w:eastAsia="Times New Roman" w:hAnsi="Cambria" w:cs="Times New Roman"/>
          <w:i w:val="0"/>
          <w:sz w:val="18"/>
          <w:szCs w:val="18"/>
        </w:rPr>
      </w:pPr>
    </w:p>
    <w:p w:rsidR="00FE29DF" w:rsidRPr="00D81BA8" w:rsidRDefault="00FE29DF" w:rsidP="00FE29DF">
      <w:pPr>
        <w:spacing w:after="0" w:line="240" w:lineRule="auto"/>
        <w:ind w:left="690"/>
        <w:rPr>
          <w:rFonts w:ascii="Cambria" w:eastAsia="Times New Roman" w:hAnsi="Cambria" w:cs="Times New Roman"/>
          <w:i w:val="0"/>
          <w:sz w:val="22"/>
        </w:rPr>
      </w:pPr>
    </w:p>
    <w:p w:rsidR="00FE29DF" w:rsidRPr="00D81BA8" w:rsidRDefault="00FE29DF" w:rsidP="00FE29DF">
      <w:pPr>
        <w:spacing w:after="0" w:line="240" w:lineRule="auto"/>
        <w:ind w:left="690"/>
        <w:rPr>
          <w:rFonts w:ascii="Cambria" w:eastAsia="Times New Roman" w:hAnsi="Cambria" w:cs="Times New Roman"/>
          <w:i w:val="0"/>
          <w:sz w:val="22"/>
        </w:rPr>
      </w:pPr>
    </w:p>
    <w:p w:rsidR="00FE29DF" w:rsidRPr="00D81BA8" w:rsidRDefault="00FE29DF" w:rsidP="00FE29DF">
      <w:pPr>
        <w:spacing w:after="0" w:line="240" w:lineRule="auto"/>
        <w:ind w:left="690"/>
        <w:rPr>
          <w:rFonts w:ascii="Cambria" w:eastAsia="Times New Roman" w:hAnsi="Cambria" w:cs="Times New Roman"/>
          <w:i w:val="0"/>
          <w:sz w:val="22"/>
        </w:rPr>
      </w:pPr>
    </w:p>
    <w:p w:rsidR="00FE29DF" w:rsidRPr="00D81BA8" w:rsidRDefault="00FE29DF" w:rsidP="00FE29DF">
      <w:pPr>
        <w:spacing w:after="0" w:line="240" w:lineRule="auto"/>
        <w:ind w:left="690"/>
        <w:rPr>
          <w:rStyle w:val="Collegamentoipertestuale"/>
          <w:rFonts w:ascii="Cambria" w:eastAsia="Times New Roman" w:hAnsi="Cambria" w:cs="Times New Roman"/>
          <w:i w:val="0"/>
          <w:sz w:val="22"/>
        </w:rPr>
      </w:pPr>
      <w:r w:rsidRPr="00D81BA8">
        <w:rPr>
          <w:rStyle w:val="Collegamentoipertestuale"/>
          <w:rFonts w:ascii="Cambria" w:eastAsia="Times New Roman" w:hAnsi="Cambria" w:cs="Times New Roman"/>
          <w:i w:val="0"/>
          <w:sz w:val="22"/>
        </w:rPr>
        <w:t xml:space="preserve">   </w:t>
      </w:r>
    </w:p>
    <w:sectPr w:rsidR="00FE29DF" w:rsidRPr="00D81BA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33" w:rsidRDefault="001F5333" w:rsidP="0004407E">
      <w:pPr>
        <w:spacing w:after="0" w:line="240" w:lineRule="auto"/>
      </w:pPr>
      <w:r>
        <w:separator/>
      </w:r>
    </w:p>
  </w:endnote>
  <w:endnote w:type="continuationSeparator" w:id="0">
    <w:p w:rsidR="001F5333" w:rsidRDefault="001F5333" w:rsidP="0004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07E" w:rsidRPr="0004407E" w:rsidRDefault="0004407E" w:rsidP="0004407E">
    <w:pPr>
      <w:spacing w:after="160" w:line="259" w:lineRule="auto"/>
      <w:ind w:left="0" w:firstLine="0"/>
      <w:jc w:val="center"/>
      <w:rPr>
        <w:rFonts w:ascii="Cambria" w:eastAsiaTheme="minorHAnsi" w:hAnsi="Cambria" w:cs="Times New Roman"/>
        <w:i w:val="0"/>
        <w:color w:val="auto"/>
        <w:sz w:val="16"/>
        <w:szCs w:val="16"/>
        <w:lang w:eastAsia="en-US"/>
      </w:rPr>
    </w:pPr>
    <w:r w:rsidRPr="0004407E">
      <w:rPr>
        <w:rFonts w:ascii="Cambria" w:eastAsiaTheme="minorHAnsi" w:hAnsi="Cambria" w:cs="Times New Roman"/>
        <w:i w:val="0"/>
        <w:color w:val="auto"/>
        <w:sz w:val="16"/>
        <w:szCs w:val="16"/>
        <w:lang w:eastAsia="en-US"/>
      </w:rPr>
      <w:t xml:space="preserve">Museo Diocesano di Monopoli, via Cattedrale 26, 70043 Monopoli </w:t>
    </w:r>
    <w:r w:rsidRPr="0004407E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Tel</w:t>
    </w:r>
    <w:r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 xml:space="preserve">. </w:t>
    </w:r>
    <w:r w:rsidRPr="0004407E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+39.080.74800</w:t>
    </w:r>
    <w:r w:rsidR="00FE29DF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2</w:t>
    </w:r>
  </w:p>
  <w:p w:rsidR="0004407E" w:rsidRPr="0004407E" w:rsidRDefault="001F5333" w:rsidP="0004407E">
    <w:pPr>
      <w:spacing w:after="0" w:line="240" w:lineRule="auto"/>
      <w:ind w:left="720" w:firstLine="0"/>
      <w:jc w:val="left"/>
      <w:rPr>
        <w:rFonts w:ascii="Cambria" w:eastAsiaTheme="minorHAnsi" w:hAnsi="Cambria" w:cs="Times New Roman"/>
        <w:i w:val="0"/>
        <w:color w:val="auto"/>
        <w:sz w:val="16"/>
        <w:szCs w:val="16"/>
        <w:lang w:eastAsia="en-US"/>
      </w:rPr>
    </w:pPr>
    <w:hyperlink r:id="rId1" w:tgtFrame="_blank" w:history="1">
      <w:r w:rsidR="0004407E" w:rsidRPr="0004407E">
        <w:rPr>
          <w:rFonts w:ascii="Cambria" w:eastAsia="Times New Roman" w:hAnsi="Cambria" w:cs="Times New Roman"/>
          <w:i w:val="0"/>
          <w:color w:val="0000FF"/>
          <w:sz w:val="16"/>
          <w:szCs w:val="16"/>
          <w:u w:val="single"/>
        </w:rPr>
        <w:t>http://www.museodiocesanomonopoli.it/</w:t>
      </w:r>
    </w:hyperlink>
    <w:r w:rsidR="0004407E" w:rsidRPr="0004407E">
      <w:rPr>
        <w:rFonts w:ascii="Cambria" w:eastAsia="Times New Roman" w:hAnsi="Cambria" w:cs="Times New Roman"/>
        <w:i w:val="0"/>
        <w:color w:val="auto"/>
        <w:sz w:val="16"/>
        <w:szCs w:val="16"/>
      </w:rPr>
      <w:t xml:space="preserve"> </w:t>
    </w:r>
    <w:r w:rsidR="00FE29DF">
      <w:rPr>
        <w:rFonts w:ascii="Cambria" w:eastAsia="Times New Roman" w:hAnsi="Cambria" w:cs="Times New Roman"/>
        <w:i w:val="0"/>
        <w:color w:val="auto"/>
        <w:sz w:val="16"/>
        <w:szCs w:val="16"/>
      </w:rPr>
      <w:t xml:space="preserve">  </w:t>
    </w:r>
    <w:r w:rsidR="0004407E" w:rsidRPr="0004407E">
      <w:rPr>
        <w:rFonts w:ascii="Cambria" w:eastAsia="Times New Roman" w:hAnsi="Cambria" w:cs="Times New Roman"/>
        <w:i w:val="0"/>
        <w:color w:val="auto"/>
        <w:sz w:val="16"/>
        <w:szCs w:val="16"/>
      </w:rPr>
      <w:t xml:space="preserve"> </w:t>
    </w:r>
    <w:r w:rsidR="0004407E" w:rsidRPr="0004407E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>E-mail: info @ museodiocesanomonopoli.com</w:t>
    </w:r>
    <w:r w:rsidR="00FE29DF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 xml:space="preserve">  </w:t>
    </w:r>
    <w:r w:rsidR="0004407E" w:rsidRPr="0004407E">
      <w:rPr>
        <w:rFonts w:ascii="Cambria" w:eastAsiaTheme="minorHAnsi" w:hAnsi="Cambria" w:cstheme="minorBidi"/>
        <w:i w:val="0"/>
        <w:color w:val="auto"/>
        <w:sz w:val="16"/>
        <w:szCs w:val="16"/>
        <w:lang w:eastAsia="en-US"/>
      </w:rPr>
      <w:t xml:space="preserve"> FB: Museo Diocesano di Monopoli</w:t>
    </w:r>
  </w:p>
  <w:p w:rsidR="0004407E" w:rsidRDefault="000440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33" w:rsidRDefault="001F5333" w:rsidP="0004407E">
      <w:pPr>
        <w:spacing w:after="0" w:line="240" w:lineRule="auto"/>
      </w:pPr>
      <w:r>
        <w:separator/>
      </w:r>
    </w:p>
  </w:footnote>
  <w:footnote w:type="continuationSeparator" w:id="0">
    <w:p w:rsidR="001F5333" w:rsidRDefault="001F5333" w:rsidP="0004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07E" w:rsidRDefault="00FE29DF" w:rsidP="0004407E">
    <w:pPr>
      <w:pStyle w:val="Intestazione"/>
    </w:pPr>
    <w:r>
      <w:t xml:space="preserve">                </w:t>
    </w:r>
    <w:r w:rsidR="0004407E">
      <w:t xml:space="preserve">  </w:t>
    </w:r>
    <w:r w:rsidR="0004407E" w:rsidRPr="00104590">
      <w:rPr>
        <w:noProof/>
      </w:rPr>
      <w:drawing>
        <wp:inline distT="0" distB="0" distL="0" distR="0" wp14:anchorId="2D2053F6" wp14:editId="4C41CF72">
          <wp:extent cx="2443523" cy="578795"/>
          <wp:effectExtent l="0" t="0" r="0" b="0"/>
          <wp:docPr id="2" name="Immagine 2" descr="Museo Diocesano di Mono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useo Diocesano di Monopo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221" cy="589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407E" w:rsidRPr="00D945CB" w:rsidRDefault="0004407E" w:rsidP="0004407E">
    <w:pPr>
      <w:spacing w:after="160" w:line="259" w:lineRule="auto"/>
      <w:ind w:left="0" w:firstLine="0"/>
      <w:jc w:val="center"/>
      <w:rPr>
        <w:rFonts w:ascii="Times New Roman" w:eastAsiaTheme="minorHAnsi" w:hAnsi="Times New Roman" w:cs="Times New Roman"/>
        <w:i w:val="0"/>
        <w:color w:val="auto"/>
        <w:sz w:val="36"/>
        <w:szCs w:val="36"/>
        <w:lang w:eastAsia="en-US"/>
      </w:rPr>
    </w:pPr>
    <w:r w:rsidRPr="00D945CB">
      <w:rPr>
        <w:rFonts w:ascii="Times New Roman" w:eastAsiaTheme="minorHAnsi" w:hAnsi="Times New Roman" w:cs="Times New Roman"/>
        <w:i w:val="0"/>
        <w:color w:val="auto"/>
        <w:sz w:val="36"/>
        <w:szCs w:val="36"/>
        <w:lang w:eastAsia="en-US"/>
      </w:rPr>
      <w:t>MUSEO DIOCESANO DI MONOPOLI</w:t>
    </w:r>
  </w:p>
  <w:p w:rsidR="0004407E" w:rsidRDefault="0004407E" w:rsidP="0004407E">
    <w:pPr>
      <w:pStyle w:val="Intestazione"/>
    </w:pPr>
    <w:r>
      <w:rPr>
        <w:rFonts w:ascii="Times New Roman" w:eastAsiaTheme="minorHAnsi" w:hAnsi="Times New Roman" w:cs="Times New Roman"/>
        <w:i w:val="0"/>
        <w:color w:val="auto"/>
        <w:sz w:val="20"/>
        <w:szCs w:val="20"/>
        <w:lang w:eastAsia="en-US"/>
      </w:rPr>
      <w:t xml:space="preserve">                              </w:t>
    </w:r>
    <w:r w:rsidRPr="00D945CB">
      <w:rPr>
        <w:rFonts w:ascii="Times New Roman" w:eastAsiaTheme="minorHAnsi" w:hAnsi="Times New Roman" w:cs="Times New Roman"/>
        <w:i w:val="0"/>
        <w:color w:val="auto"/>
        <w:sz w:val="20"/>
        <w:szCs w:val="20"/>
        <w:lang w:eastAsia="en-US"/>
      </w:rPr>
      <w:t>CURIA DI CONVERSANO MONOPOLI</w:t>
    </w:r>
    <w:r w:rsidR="00FE29DF">
      <w:rPr>
        <w:rFonts w:ascii="Times New Roman" w:eastAsiaTheme="minorHAnsi" w:hAnsi="Times New Roman" w:cs="Times New Roman"/>
        <w:i w:val="0"/>
        <w:color w:val="auto"/>
        <w:sz w:val="20"/>
        <w:szCs w:val="20"/>
        <w:lang w:eastAsia="en-US"/>
      </w:rPr>
      <w:t xml:space="preserve"> (BARI)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EAD"/>
    <w:multiLevelType w:val="hybridMultilevel"/>
    <w:tmpl w:val="130CF264"/>
    <w:lvl w:ilvl="0" w:tplc="6856352A">
      <w:start w:val="1"/>
      <w:numFmt w:val="decimal"/>
      <w:lvlText w:val="%1."/>
      <w:lvlJc w:val="left"/>
      <w:pPr>
        <w:ind w:left="191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6815E">
      <w:start w:val="1"/>
      <w:numFmt w:val="lowerLetter"/>
      <w:lvlText w:val="%2"/>
      <w:lvlJc w:val="left"/>
      <w:pPr>
        <w:ind w:left="111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48468">
      <w:start w:val="1"/>
      <w:numFmt w:val="lowerRoman"/>
      <w:lvlText w:val="%3"/>
      <w:lvlJc w:val="left"/>
      <w:pPr>
        <w:ind w:left="183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438A4">
      <w:start w:val="1"/>
      <w:numFmt w:val="decimal"/>
      <w:lvlText w:val="%4"/>
      <w:lvlJc w:val="left"/>
      <w:pPr>
        <w:ind w:left="255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CAF5A">
      <w:start w:val="1"/>
      <w:numFmt w:val="lowerLetter"/>
      <w:lvlText w:val="%5"/>
      <w:lvlJc w:val="left"/>
      <w:pPr>
        <w:ind w:left="327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C7E74">
      <w:start w:val="1"/>
      <w:numFmt w:val="lowerRoman"/>
      <w:lvlText w:val="%6"/>
      <w:lvlJc w:val="left"/>
      <w:pPr>
        <w:ind w:left="399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09B80">
      <w:start w:val="1"/>
      <w:numFmt w:val="decimal"/>
      <w:lvlText w:val="%7"/>
      <w:lvlJc w:val="left"/>
      <w:pPr>
        <w:ind w:left="471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043F6">
      <w:start w:val="1"/>
      <w:numFmt w:val="lowerLetter"/>
      <w:lvlText w:val="%8"/>
      <w:lvlJc w:val="left"/>
      <w:pPr>
        <w:ind w:left="543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24E28">
      <w:start w:val="1"/>
      <w:numFmt w:val="lowerRoman"/>
      <w:lvlText w:val="%9"/>
      <w:lvlJc w:val="left"/>
      <w:pPr>
        <w:ind w:left="615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B7914"/>
    <w:multiLevelType w:val="hybridMultilevel"/>
    <w:tmpl w:val="9680370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F80B45"/>
    <w:multiLevelType w:val="hybridMultilevel"/>
    <w:tmpl w:val="24041C18"/>
    <w:lvl w:ilvl="0" w:tplc="0AF6E33C">
      <w:start w:val="1"/>
      <w:numFmt w:val="decimal"/>
      <w:lvlText w:val="%1."/>
      <w:lvlJc w:val="left"/>
      <w:pPr>
        <w:ind w:left="1906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077EA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A5C3C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4D5C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A4364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62C24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E3BFE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87A6E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4A0C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D01F3"/>
    <w:multiLevelType w:val="hybridMultilevel"/>
    <w:tmpl w:val="F418D12E"/>
    <w:lvl w:ilvl="0" w:tplc="8436819C">
      <w:start w:val="1"/>
      <w:numFmt w:val="decimal"/>
      <w:lvlText w:val="%1."/>
      <w:lvlJc w:val="left"/>
      <w:pPr>
        <w:ind w:left="1911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AE42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A96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00D9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2D322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275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7B9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48384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A30F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A57B84"/>
    <w:multiLevelType w:val="hybridMultilevel"/>
    <w:tmpl w:val="B0DED412"/>
    <w:lvl w:ilvl="0" w:tplc="636A7330">
      <w:start w:val="1"/>
      <w:numFmt w:val="decimal"/>
      <w:lvlText w:val="%1."/>
      <w:lvlJc w:val="left"/>
      <w:pPr>
        <w:ind w:left="194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6D42E">
      <w:start w:val="1"/>
      <w:numFmt w:val="lowerLetter"/>
      <w:lvlText w:val="%2)"/>
      <w:lvlJc w:val="left"/>
      <w:pPr>
        <w:ind w:left="2209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EF74C">
      <w:start w:val="1"/>
      <w:numFmt w:val="lowerRoman"/>
      <w:lvlText w:val="%3"/>
      <w:lvlJc w:val="left"/>
      <w:pPr>
        <w:ind w:left="140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649C8">
      <w:start w:val="1"/>
      <w:numFmt w:val="decimal"/>
      <w:lvlText w:val="%4"/>
      <w:lvlJc w:val="left"/>
      <w:pPr>
        <w:ind w:left="212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4B988">
      <w:start w:val="1"/>
      <w:numFmt w:val="lowerLetter"/>
      <w:lvlText w:val="%5"/>
      <w:lvlJc w:val="left"/>
      <w:pPr>
        <w:ind w:left="284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E9C46">
      <w:start w:val="1"/>
      <w:numFmt w:val="lowerRoman"/>
      <w:lvlText w:val="%6"/>
      <w:lvlJc w:val="left"/>
      <w:pPr>
        <w:ind w:left="356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011B0">
      <w:start w:val="1"/>
      <w:numFmt w:val="decimal"/>
      <w:lvlText w:val="%7"/>
      <w:lvlJc w:val="left"/>
      <w:pPr>
        <w:ind w:left="428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E6090">
      <w:start w:val="1"/>
      <w:numFmt w:val="lowerLetter"/>
      <w:lvlText w:val="%8"/>
      <w:lvlJc w:val="left"/>
      <w:pPr>
        <w:ind w:left="500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0D016">
      <w:start w:val="1"/>
      <w:numFmt w:val="lowerRoman"/>
      <w:lvlText w:val="%9"/>
      <w:lvlJc w:val="left"/>
      <w:pPr>
        <w:ind w:left="5722"/>
      </w:pPr>
      <w:rPr>
        <w:rFonts w:ascii="Palatino Linotype" w:eastAsia="Palatino Linotype" w:hAnsi="Palatino Linotype" w:cs="Palatino Linotyp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C1"/>
    <w:rsid w:val="0004407E"/>
    <w:rsid w:val="000846AD"/>
    <w:rsid w:val="000F5ABF"/>
    <w:rsid w:val="001265F2"/>
    <w:rsid w:val="001478EF"/>
    <w:rsid w:val="00154756"/>
    <w:rsid w:val="001F2B7D"/>
    <w:rsid w:val="001F5333"/>
    <w:rsid w:val="00221281"/>
    <w:rsid w:val="002D0964"/>
    <w:rsid w:val="004C6196"/>
    <w:rsid w:val="005B4FA9"/>
    <w:rsid w:val="005C5655"/>
    <w:rsid w:val="00723F42"/>
    <w:rsid w:val="0075144A"/>
    <w:rsid w:val="00781DB7"/>
    <w:rsid w:val="00840563"/>
    <w:rsid w:val="008A742A"/>
    <w:rsid w:val="008B7C34"/>
    <w:rsid w:val="008F61B6"/>
    <w:rsid w:val="00903BE8"/>
    <w:rsid w:val="00926F0B"/>
    <w:rsid w:val="009730C8"/>
    <w:rsid w:val="00985742"/>
    <w:rsid w:val="00A35E09"/>
    <w:rsid w:val="00A460BF"/>
    <w:rsid w:val="00A664E9"/>
    <w:rsid w:val="00B33F46"/>
    <w:rsid w:val="00B37D16"/>
    <w:rsid w:val="00B72169"/>
    <w:rsid w:val="00BA71D8"/>
    <w:rsid w:val="00BB01C1"/>
    <w:rsid w:val="00C674CA"/>
    <w:rsid w:val="00C81281"/>
    <w:rsid w:val="00CB4221"/>
    <w:rsid w:val="00CB4EDF"/>
    <w:rsid w:val="00D80619"/>
    <w:rsid w:val="00D81BA8"/>
    <w:rsid w:val="00D945CB"/>
    <w:rsid w:val="00E1097A"/>
    <w:rsid w:val="00E72263"/>
    <w:rsid w:val="00E8680F"/>
    <w:rsid w:val="00EC20EF"/>
    <w:rsid w:val="00F40680"/>
    <w:rsid w:val="00F439A3"/>
    <w:rsid w:val="00FE29DF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06A8E-AB8D-4A57-B2C0-2D74F932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01C1"/>
    <w:pPr>
      <w:spacing w:after="4" w:line="249" w:lineRule="auto"/>
      <w:ind w:left="1540" w:hanging="10"/>
      <w:jc w:val="both"/>
    </w:pPr>
    <w:rPr>
      <w:rFonts w:ascii="Palatino Linotype" w:eastAsia="Palatino Linotype" w:hAnsi="Palatino Linotype" w:cs="Palatino Linotype"/>
      <w:i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F4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07E"/>
    <w:rPr>
      <w:rFonts w:ascii="Palatino Linotype" w:eastAsia="Palatino Linotype" w:hAnsi="Palatino Linotype" w:cs="Palatino Linotype"/>
      <w:i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07E"/>
    <w:rPr>
      <w:rFonts w:ascii="Palatino Linotype" w:eastAsia="Palatino Linotype" w:hAnsi="Palatino Linotype" w:cs="Palatino Linotype"/>
      <w:i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odiocesanomonopol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MARIELLA MASTROMARCO</cp:lastModifiedBy>
  <cp:revision>3</cp:revision>
  <dcterms:created xsi:type="dcterms:W3CDTF">2022-11-17T16:49:00Z</dcterms:created>
  <dcterms:modified xsi:type="dcterms:W3CDTF">2022-11-17T16:55:00Z</dcterms:modified>
</cp:coreProperties>
</file>