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45C42" w14:textId="2CCBEFE0" w:rsidR="00BC562F" w:rsidRPr="00BC562F" w:rsidRDefault="00BC562F" w:rsidP="00BC562F">
      <w:pPr>
        <w:spacing w:after="100" w:afterAutospacing="1" w:line="240" w:lineRule="auto"/>
        <w:jc w:val="center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STAGIONE VENATORIA 202</w:t>
      </w:r>
      <w:r w:rsidR="00302027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4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/202</w:t>
      </w:r>
      <w:r w:rsidR="00302027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br/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AVVISO PER L’UTENZA</w:t>
      </w:r>
    </w:p>
    <w:p w14:paraId="34088F8B" w14:textId="481C0EB2" w:rsidR="0057216C" w:rsidRDefault="00BC562F" w:rsidP="0057216C">
      <w:pPr>
        <w:spacing w:after="0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Si comunica che la Regione Puglia - Dipartimento agricoltura, sviluppo rurale ed ambientale</w:t>
      </w:r>
      <w:r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-</w:t>
      </w:r>
      <w:r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D4532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ezione gestione sostenibile e tutela delle risorse forestali e ambientali </w:t>
      </w:r>
      <w:r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- </w:t>
      </w:r>
      <w:r w:rsidR="00DD4532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ervizio valorizzazione e tutela risorse naturali e biodiversità, ha inviato ai </w:t>
      </w:r>
      <w:r w:rsidR="005D7B5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indaci della regione Puglia</w:t>
      </w:r>
      <w:r w:rsidR="00DD4532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,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ai Presidenti Regionali delle associazioni venatorie pugliesi 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e all’Osservatorio Faunistico di Bitetto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la nota </w:t>
      </w:r>
      <w:r w:rsidR="00D039A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rot.</w:t>
      </w:r>
      <w:r w:rsid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D039A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n. </w:t>
      </w:r>
      <w:r w:rsidR="00D039A5" w:rsidRPr="00D039A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57434 del 09.08.2024</w:t>
      </w:r>
      <w:r w:rsidR="0057216C" w:rsidRP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avente ad oggetto</w:t>
      </w:r>
      <w:r w:rsidR="005D7B5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“</w:t>
      </w:r>
      <w:r w:rsidR="00DD4532"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Stagione v</w:t>
      </w:r>
      <w:r w:rsidR="005D7B55"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e</w:t>
      </w:r>
      <w:r w:rsidR="00DD4532"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natoria 202</w:t>
      </w:r>
      <w:r w:rsidR="00302027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4</w:t>
      </w:r>
      <w:r w:rsidR="00DD4532"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/202</w:t>
      </w:r>
      <w:r w:rsidR="00302027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5</w:t>
      </w:r>
      <w:r w:rsidR="00DD4532"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. I</w:t>
      </w:r>
      <w:r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 xml:space="preserve">nvio tesserini venatori regionali- annata </w:t>
      </w:r>
      <w:r w:rsidRPr="00D039A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202</w:t>
      </w:r>
      <w:r w:rsidR="00302027" w:rsidRPr="00D039A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4</w:t>
      </w:r>
      <w:r w:rsidRPr="00D039A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/202</w:t>
      </w:r>
      <w:r w:rsidR="00302027" w:rsidRPr="00D039A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5</w:t>
      </w:r>
      <w:r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. Adempimenti</w:t>
      </w:r>
      <w:r w:rsidR="00DD4532" w:rsidRPr="005D7B55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 xml:space="preserve"> e comunicazioni</w:t>
      </w:r>
      <w:r w:rsidR="005D7B5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”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, che si riporta in allegato. (file allegato denominato: </w:t>
      </w:r>
      <w:r w:rsidR="00DD4532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N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ota </w:t>
      </w:r>
      <w:r w:rsidR="00DD4532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per trasmissione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tesserini </w:t>
      </w:r>
      <w:r w:rsidR="00DD4532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ai Comuni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202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4</w:t>
      </w:r>
      <w:r w:rsidR="00DD4532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-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202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5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)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br/>
        <w:t>In particolare si rammenta che ai sensi dell'art.11 del calendario venatorio 202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4</w:t>
      </w:r>
      <w:r w:rsid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/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202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5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pubblicato con </w:t>
      </w:r>
      <w:r w:rsidRP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BURP -n.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65</w:t>
      </w:r>
      <w:r w:rsidRP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del 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12</w:t>
      </w:r>
      <w:r w:rsidRP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.0</w:t>
      </w:r>
      <w:r w:rsidR="0030202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8</w:t>
      </w:r>
      <w:r w:rsidRP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.202</w:t>
      </w:r>
      <w:r w:rsidR="0041233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4</w:t>
      </w:r>
      <w:r w:rsidRPr="0057216C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,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"</w:t>
      </w:r>
      <w:r w:rsidRPr="00302027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...La tassa di concessione è soggetta al rinnovo annuale. Essa deve essere corrisposta da tutti i titolari di licenza di caccia per poter esercitare l’attività venatoria. Agli effetti delle tasse annuali, governative e regionale, si intende per anno il periodo di dodici mesi, decorrente dalla data di emanazione della licenza. A partire dall’anno successivo a quello del rilascio o rinnovo della licenza per uso caccia, i versamenti delle tasse annuali di concessione governativa e regionale devono essere effettuati in concomitanza</w:t>
      </w:r>
      <w:r w:rsidR="00412337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 xml:space="preserve"> salvo la diversa scelta del cacciatore di effettuare il versamento della tassa di concessione regionale in un periodo differente in conseguenza delle diverse disposizioni normative</w:t>
      </w:r>
      <w:r w:rsidRPr="00302027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. Entrambi i versamenti possono essere anticipati di massimo quindici giorni dalla data di rilascio-rinnovo della licenza conservando le ricevute dell’anno precedente al fine di esibirle in corso di controllo; dette ricevute si intendono valide sino al giorno e mese di scadenza di rilascio della licenza di caccia. Nel caso in cui i versamenti vengano effettuati in tempi successivi alla scadenza annuale, questi avranno validità non di dodici mesi, ma sino alla prossima scadenza annuale riferita alla data di rilascio della licenza.</w:t>
      </w:r>
      <w:r w:rsidR="00412337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>”</w:t>
      </w:r>
      <w:r w:rsidRPr="00302027">
        <w:rPr>
          <w:rFonts w:ascii="Lora" w:eastAsia="Times New Roman" w:hAnsi="Lora" w:cs="Times New Roman"/>
          <w:i/>
          <w:kern w:val="0"/>
          <w:sz w:val="24"/>
          <w:szCs w:val="24"/>
          <w:lang w:eastAsia="it-IT"/>
          <w14:ligatures w14:val="none"/>
        </w:rPr>
        <w:t xml:space="preserve"> </w:t>
      </w:r>
      <w:r w:rsidR="005D7B55" w:rsidRPr="0041233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(I</w:t>
      </w:r>
      <w:r w:rsidRPr="0041233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l versamento della tassa di concessione regionale va effettuato contestualmente al versamento della tassa di concessione governativa in riferimento al giorno e al mese di rilascio della licenza di caccia)</w:t>
      </w:r>
      <w:r w:rsidR="005D7B55" w:rsidRPr="00412337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0141656" w14:textId="4777A216" w:rsidR="00BC562F" w:rsidRPr="00BC562F" w:rsidRDefault="00BC562F" w:rsidP="0057216C">
      <w:pPr>
        <w:spacing w:after="0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Si precisa inoltre che per il rilascio del tesserino con validità anche in altri ATC differenti dall'ATC di residenza non è sufficiente la sola attestazione di versamento del relativo contributo</w:t>
      </w:r>
      <w:r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,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è necessario dimostrare l'ottenimento dell'autorizzazione da parte dell'ATC non di residenza.</w:t>
      </w:r>
    </w:p>
    <w:p w14:paraId="6DA9AA38" w14:textId="412D3F9C" w:rsidR="00BC562F" w:rsidRPr="00BC562F" w:rsidRDefault="00BC562F" w:rsidP="00BC562F">
      <w:pPr>
        <w:spacing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Nell'apposita sezione "modulistica" sono disponibili i modelli di istanza singola e multipla.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br/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Richiesta</w:t>
      </w:r>
      <w:r w:rsidR="00826BD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tesserino</w:t>
      </w:r>
      <w:r w:rsidR="00826BD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202</w:t>
      </w:r>
      <w:r w:rsidR="00302027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4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-202</w:t>
      </w:r>
      <w:r w:rsidR="00302027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="00826BD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SINGOLA (pdf)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br/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Richiesta</w:t>
      </w:r>
      <w:r w:rsidR="00826BD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tesserino</w:t>
      </w:r>
      <w:r w:rsidR="00826BD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202</w:t>
      </w:r>
      <w:r w:rsidR="00302027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4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-202</w:t>
      </w:r>
      <w:r w:rsidR="00302027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="00826BD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MULTIPLA</w:t>
      </w:r>
      <w:r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(pdf)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br/>
        <w:t>----------------------------------------------------------------------------------</w:t>
      </w:r>
    </w:p>
    <w:p w14:paraId="20F42367" w14:textId="0987FE23" w:rsidR="00BC562F" w:rsidRPr="00BC562F" w:rsidRDefault="00BC562F" w:rsidP="00BC562F">
      <w:pPr>
        <w:spacing w:after="100" w:afterAutospacing="1" w:line="240" w:lineRule="auto"/>
        <w:jc w:val="center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STAGIONE VENATORIA 202</w:t>
      </w:r>
      <w:r w:rsidR="00572B4B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4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/202</w:t>
      </w:r>
      <w:r w:rsidR="00572B4B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5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br/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AVVISO PER L’UTENZA</w:t>
      </w:r>
    </w:p>
    <w:p w14:paraId="3560DD43" w14:textId="1D2C52B2" w:rsidR="00572B4B" w:rsidRDefault="00BC562F" w:rsidP="00BC562F">
      <w:pPr>
        <w:spacing w:after="100" w:afterAutospacing="1" w:line="240" w:lineRule="auto"/>
        <w:jc w:val="both"/>
        <w:rPr>
          <w:rStyle w:val="Collegamentoipertestuale"/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Si comunica che, in occasione dell’imminente apertura della stagione venatoria, la presentazione delle istanze per il rilascio dei tesserin</w:t>
      </w:r>
      <w:r w:rsidR="00572B4B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potrà aver luogo, a discrezione dell’utenza, </w:t>
      </w:r>
      <w:r w:rsidR="00572B4B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a mezzo cartaceo presso l’Ufficio Protocollo in via Giuseppe Garibaldi, 6 o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a mezzo </w:t>
      </w:r>
      <w:proofErr w:type="spellStart"/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all’indirizzo</w:t>
      </w:r>
      <w:r w:rsidR="005D7B5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572B4B" w:rsidRPr="00572B4B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comune@pec.comune.monopoli.ba.it</w:t>
      </w:r>
      <w:r w:rsidR="00572B4B" w:rsidRPr="00572B4B">
        <w:rPr>
          <w:rFonts w:ascii="Lora" w:eastAsia="Times New Roman" w:hAnsi="Lora" w:cs="Times New Roman"/>
          <w:bCs/>
          <w:kern w:val="0"/>
          <w:sz w:val="24"/>
          <w:szCs w:val="24"/>
          <w:lang w:eastAsia="it-IT"/>
          <w14:ligatures w14:val="none"/>
        </w:rPr>
        <w:t>.</w:t>
      </w:r>
    </w:p>
    <w:p w14:paraId="083D6AD8" w14:textId="46C4541A" w:rsidR="005D7B55" w:rsidRDefault="00BC562F" w:rsidP="00BC562F">
      <w:pPr>
        <w:spacing w:after="100" w:afterAutospacing="1" w:line="240" w:lineRule="auto"/>
        <w:jc w:val="both"/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L’accesso per</w:t>
      </w:r>
      <w:r w:rsidR="005D7B55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il ritiro dei tesserini venatori,</w:t>
      </w:r>
      <w:r w:rsidR="005D7B55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presso l’Ufficio Agricoltura, è consentito esclusivamente nel</w:t>
      </w:r>
      <w:r w:rsidR="00572B4B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la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giornat</w:t>
      </w:r>
      <w:r w:rsidR="00572B4B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a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di</w:t>
      </w:r>
      <w:r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venerdì dalle ore </w:t>
      </w:r>
      <w:r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9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.</w:t>
      </w:r>
      <w:r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3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0 alle ore 1</w:t>
      </w:r>
      <w:r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2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.00.</w:t>
      </w:r>
    </w:p>
    <w:p w14:paraId="50FEE00A" w14:textId="07AA1C0E" w:rsidR="00BC562F" w:rsidRPr="005D7B55" w:rsidRDefault="00BC562F" w:rsidP="00BC562F">
      <w:pPr>
        <w:spacing w:after="100" w:afterAutospacing="1" w:line="240" w:lineRule="auto"/>
        <w:jc w:val="both"/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Per ulteriori informazioni è possibile contattare i numer</w:t>
      </w:r>
      <w:r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i</w:t>
      </w:r>
      <w:r w:rsidR="0080236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080 41404</w:t>
      </w:r>
      <w:r>
        <w:rPr>
          <w:rFonts w:ascii="Lora" w:eastAsia="Times New Roman" w:hAnsi="Lora" w:cs="Times New Roman"/>
          <w:b/>
          <w:bCs/>
          <w:kern w:val="0"/>
          <w:sz w:val="24"/>
          <w:szCs w:val="24"/>
          <w:lang w:eastAsia="it-IT"/>
          <w14:ligatures w14:val="none"/>
        </w:rPr>
        <w:t>53 - 435</w:t>
      </w:r>
      <w:r w:rsidR="0080236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dal lunedì al venerdì dalle ore 9.00 alle ore 12.00.</w:t>
      </w:r>
    </w:p>
    <w:p w14:paraId="5CE5AD42" w14:textId="77777777" w:rsidR="00BC562F" w:rsidRPr="00BC562F" w:rsidRDefault="00BC562F" w:rsidP="00BC562F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</w:pPr>
      <w:r w:rsidRPr="00BC562F">
        <w:rPr>
          <w:rFonts w:ascii="Lora" w:eastAsia="Times New Roman" w:hAnsi="Lora" w:cs="Times New Roman"/>
          <w:kern w:val="0"/>
          <w:sz w:val="24"/>
          <w:szCs w:val="24"/>
          <w:lang w:eastAsia="it-IT"/>
          <w14:ligatures w14:val="none"/>
        </w:rPr>
        <w:t>Ufficio di Agricoltura</w:t>
      </w:r>
    </w:p>
    <w:p w14:paraId="0242B6DF" w14:textId="77777777" w:rsidR="00A325D4" w:rsidRDefault="00A325D4">
      <w:bookmarkStart w:id="0" w:name="_GoBack"/>
      <w:bookmarkEnd w:id="0"/>
    </w:p>
    <w:sectPr w:rsidR="00A325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A8"/>
    <w:rsid w:val="00302027"/>
    <w:rsid w:val="00412337"/>
    <w:rsid w:val="0057216C"/>
    <w:rsid w:val="00572B4B"/>
    <w:rsid w:val="005D7B55"/>
    <w:rsid w:val="006D26A8"/>
    <w:rsid w:val="007F3DBD"/>
    <w:rsid w:val="0080236F"/>
    <w:rsid w:val="00826BDF"/>
    <w:rsid w:val="009A00D6"/>
    <w:rsid w:val="00A325D4"/>
    <w:rsid w:val="00A40092"/>
    <w:rsid w:val="00BC562F"/>
    <w:rsid w:val="00C719DB"/>
    <w:rsid w:val="00D039A5"/>
    <w:rsid w:val="00D80996"/>
    <w:rsid w:val="00DD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2F7A"/>
  <w15:chartTrackingRefBased/>
  <w15:docId w15:val="{114A4EC4-7C0E-452F-934D-A949D261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7B55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7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Petrosillo</dc:creator>
  <cp:keywords/>
  <dc:description/>
  <cp:lastModifiedBy>MARIATERESA FIUME</cp:lastModifiedBy>
  <cp:revision>2</cp:revision>
  <dcterms:created xsi:type="dcterms:W3CDTF">2024-08-13T11:25:00Z</dcterms:created>
  <dcterms:modified xsi:type="dcterms:W3CDTF">2024-08-13T11:25:00Z</dcterms:modified>
</cp:coreProperties>
</file>